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E2AC26" w14:textId="77777777" w:rsidR="00C33A41" w:rsidRDefault="007B3952">
      <w:pPr>
        <w:jc w:val="center"/>
        <w:rPr>
          <w:b/>
        </w:rPr>
      </w:pPr>
      <w:r>
        <w:rPr>
          <w:noProof/>
        </w:rPr>
        <w:drawing>
          <wp:anchor distT="0" distB="0" distL="114300" distR="114300" simplePos="0" relativeHeight="251658240" behindDoc="0" locked="0" layoutInCell="1" hidden="0" allowOverlap="1" wp14:anchorId="2C022956" wp14:editId="69F88E99">
            <wp:simplePos x="0" y="0"/>
            <wp:positionH relativeFrom="margin">
              <wp:posOffset>-504819</wp:posOffset>
            </wp:positionH>
            <wp:positionV relativeFrom="margin">
              <wp:posOffset>-380996</wp:posOffset>
            </wp:positionV>
            <wp:extent cx="1562100" cy="1139190"/>
            <wp:effectExtent l="0" t="0" r="0" b="0"/>
            <wp:wrapSquare wrapText="bothSides" distT="0" distB="0" distL="114300" distR="114300"/>
            <wp:docPr id="43" name="image3.png" descr="Universidade Federal de São Carlos – Wikipédia, a enciclopédia livre"/>
            <wp:cNvGraphicFramePr/>
            <a:graphic xmlns:a="http://schemas.openxmlformats.org/drawingml/2006/main">
              <a:graphicData uri="http://schemas.openxmlformats.org/drawingml/2006/picture">
                <pic:pic xmlns:pic="http://schemas.openxmlformats.org/drawingml/2006/picture">
                  <pic:nvPicPr>
                    <pic:cNvPr id="0" name="image3.png" descr="Universidade Federal de São Carlos – Wikipédia, a enciclopédia livre"/>
                    <pic:cNvPicPr preferRelativeResize="0"/>
                  </pic:nvPicPr>
                  <pic:blipFill>
                    <a:blip r:embed="rId8"/>
                    <a:srcRect/>
                    <a:stretch>
                      <a:fillRect/>
                    </a:stretch>
                  </pic:blipFill>
                  <pic:spPr>
                    <a:xfrm>
                      <a:off x="0" y="0"/>
                      <a:ext cx="1562100" cy="1139190"/>
                    </a:xfrm>
                    <a:prstGeom prst="rect">
                      <a:avLst/>
                    </a:prstGeom>
                    <a:ln/>
                  </pic:spPr>
                </pic:pic>
              </a:graphicData>
            </a:graphic>
          </wp:anchor>
        </w:drawing>
      </w:r>
      <w:r>
        <w:rPr>
          <w:noProof/>
        </w:rPr>
        <w:drawing>
          <wp:anchor distT="0" distB="0" distL="114300" distR="114300" simplePos="0" relativeHeight="251659264" behindDoc="0" locked="0" layoutInCell="1" hidden="0" allowOverlap="1" wp14:anchorId="7F8372EC" wp14:editId="70DCC4C9">
            <wp:simplePos x="0" y="0"/>
            <wp:positionH relativeFrom="column">
              <wp:posOffset>4415790</wp:posOffset>
            </wp:positionH>
            <wp:positionV relativeFrom="paragraph">
              <wp:posOffset>-419094</wp:posOffset>
            </wp:positionV>
            <wp:extent cx="1562400" cy="1054818"/>
            <wp:effectExtent l="0" t="0" r="0" b="0"/>
            <wp:wrapSquare wrapText="bothSides" distT="0" distB="0" distL="114300" distR="114300"/>
            <wp:docPr id="4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1562400" cy="1054818"/>
                    </a:xfrm>
                    <a:prstGeom prst="rect">
                      <a:avLst/>
                    </a:prstGeom>
                    <a:ln/>
                  </pic:spPr>
                </pic:pic>
              </a:graphicData>
            </a:graphic>
          </wp:anchor>
        </w:drawing>
      </w:r>
    </w:p>
    <w:p w14:paraId="4CF2EB78" w14:textId="77777777" w:rsidR="00C33A41" w:rsidRDefault="00C33A41">
      <w:pPr>
        <w:jc w:val="center"/>
        <w:rPr>
          <w:b/>
        </w:rPr>
      </w:pPr>
    </w:p>
    <w:p w14:paraId="1E40473F" w14:textId="77777777" w:rsidR="00C33A41" w:rsidRDefault="00C33A41">
      <w:pPr>
        <w:spacing w:line="360" w:lineRule="auto"/>
        <w:ind w:firstLine="0"/>
        <w:rPr>
          <w:b/>
        </w:rPr>
      </w:pPr>
    </w:p>
    <w:p w14:paraId="22F9EE8A" w14:textId="77777777" w:rsidR="00C33A41" w:rsidRDefault="00C33A41">
      <w:pPr>
        <w:ind w:firstLine="0"/>
        <w:jc w:val="center"/>
        <w:rPr>
          <w:b/>
        </w:rPr>
      </w:pPr>
    </w:p>
    <w:p w14:paraId="6940F5E1" w14:textId="77777777" w:rsidR="00C33A41" w:rsidRDefault="007B3952">
      <w:pPr>
        <w:ind w:firstLine="0"/>
        <w:jc w:val="center"/>
        <w:rPr>
          <w:b/>
        </w:rPr>
      </w:pPr>
      <w:r>
        <w:rPr>
          <w:b/>
        </w:rPr>
        <w:t>UNIVERSIDADE FEDERAL DE SÃO CARLOS</w:t>
      </w:r>
    </w:p>
    <w:p w14:paraId="7C259918" w14:textId="77777777" w:rsidR="00C33A41" w:rsidRDefault="007B3952">
      <w:pPr>
        <w:ind w:firstLine="0"/>
        <w:jc w:val="center"/>
        <w:rPr>
          <w:b/>
        </w:rPr>
      </w:pPr>
      <w:r>
        <w:rPr>
          <w:b/>
        </w:rPr>
        <w:t>CENTRO DE EDUCAÇÃO E CIÊNCIAS HUMANAS</w:t>
      </w:r>
    </w:p>
    <w:p w14:paraId="496F1E30" w14:textId="77777777" w:rsidR="00C33A41" w:rsidRDefault="007B3952">
      <w:pPr>
        <w:ind w:firstLine="0"/>
        <w:jc w:val="center"/>
        <w:rPr>
          <w:b/>
        </w:rPr>
      </w:pPr>
      <w:r>
        <w:rPr>
          <w:b/>
        </w:rPr>
        <w:t>PROGRAMA DE PÓS-GRADUAÇÃO EM PSICOLOGIA</w:t>
      </w:r>
    </w:p>
    <w:p w14:paraId="46E5E3A4" w14:textId="77777777" w:rsidR="00C33A41" w:rsidRDefault="00C33A41">
      <w:pPr>
        <w:spacing w:line="240" w:lineRule="auto"/>
        <w:jc w:val="center"/>
        <w:rPr>
          <w:b/>
        </w:rPr>
      </w:pPr>
    </w:p>
    <w:p w14:paraId="7C5ADA00" w14:textId="77777777" w:rsidR="00C33A41" w:rsidRDefault="00C33A41">
      <w:pPr>
        <w:spacing w:line="240" w:lineRule="auto"/>
        <w:rPr>
          <w:b/>
        </w:rPr>
      </w:pPr>
    </w:p>
    <w:p w14:paraId="446A2085" w14:textId="77777777" w:rsidR="00C33A41" w:rsidRDefault="00C33A41">
      <w:pPr>
        <w:spacing w:line="240" w:lineRule="auto"/>
        <w:rPr>
          <w:b/>
        </w:rPr>
      </w:pPr>
    </w:p>
    <w:p w14:paraId="366E6529" w14:textId="77777777" w:rsidR="00C33A41" w:rsidRDefault="00C33A41">
      <w:pPr>
        <w:spacing w:line="240" w:lineRule="auto"/>
        <w:rPr>
          <w:b/>
        </w:rPr>
      </w:pPr>
    </w:p>
    <w:p w14:paraId="442B9D60" w14:textId="77777777" w:rsidR="00C33A41" w:rsidRDefault="00C33A41">
      <w:pPr>
        <w:spacing w:line="240" w:lineRule="auto"/>
        <w:rPr>
          <w:b/>
        </w:rPr>
      </w:pPr>
    </w:p>
    <w:p w14:paraId="584150A7" w14:textId="77777777" w:rsidR="00C33A41" w:rsidRDefault="00C33A41">
      <w:pPr>
        <w:spacing w:line="240" w:lineRule="auto"/>
        <w:rPr>
          <w:b/>
        </w:rPr>
      </w:pPr>
    </w:p>
    <w:p w14:paraId="5CBFFC45" w14:textId="77777777" w:rsidR="00C33A41" w:rsidRDefault="00C33A41">
      <w:pPr>
        <w:spacing w:line="240" w:lineRule="auto"/>
        <w:rPr>
          <w:b/>
        </w:rPr>
      </w:pPr>
    </w:p>
    <w:p w14:paraId="4C3DC898" w14:textId="77777777" w:rsidR="00C33A41" w:rsidRDefault="00C33A41">
      <w:pPr>
        <w:spacing w:line="240" w:lineRule="auto"/>
        <w:rPr>
          <w:b/>
        </w:rPr>
      </w:pPr>
    </w:p>
    <w:p w14:paraId="79454DC6" w14:textId="77777777" w:rsidR="00C33A41" w:rsidRDefault="007B3952">
      <w:pPr>
        <w:spacing w:line="360" w:lineRule="auto"/>
        <w:ind w:firstLine="0"/>
        <w:jc w:val="center"/>
        <w:rPr>
          <w:b/>
        </w:rPr>
      </w:pPr>
      <w:r>
        <w:rPr>
          <w:b/>
        </w:rPr>
        <w:t>BÁRBARA CRISTINA SOARES SENA</w:t>
      </w:r>
    </w:p>
    <w:p w14:paraId="72C5ADF9" w14:textId="77777777" w:rsidR="00C33A41" w:rsidRDefault="00C33A41">
      <w:pPr>
        <w:spacing w:line="360" w:lineRule="auto"/>
        <w:rPr>
          <w:b/>
        </w:rPr>
      </w:pPr>
    </w:p>
    <w:p w14:paraId="24B00BD7" w14:textId="77777777" w:rsidR="00C33A41" w:rsidRDefault="00C33A41">
      <w:pPr>
        <w:spacing w:line="360" w:lineRule="auto"/>
        <w:rPr>
          <w:b/>
        </w:rPr>
      </w:pPr>
    </w:p>
    <w:p w14:paraId="10C2FD9E" w14:textId="77777777" w:rsidR="00C33A41" w:rsidRDefault="00C33A41">
      <w:pPr>
        <w:spacing w:line="360" w:lineRule="auto"/>
        <w:rPr>
          <w:b/>
        </w:rPr>
      </w:pPr>
    </w:p>
    <w:p w14:paraId="238846F4" w14:textId="77777777" w:rsidR="00C33A41" w:rsidRDefault="00C33A41">
      <w:pPr>
        <w:spacing w:line="360" w:lineRule="auto"/>
        <w:rPr>
          <w:b/>
        </w:rPr>
      </w:pPr>
    </w:p>
    <w:p w14:paraId="3E16CD17" w14:textId="77777777" w:rsidR="00C33A41" w:rsidRDefault="00C33A41">
      <w:pPr>
        <w:spacing w:line="360" w:lineRule="auto"/>
        <w:rPr>
          <w:b/>
        </w:rPr>
      </w:pPr>
    </w:p>
    <w:p w14:paraId="0BC6CC04" w14:textId="77777777" w:rsidR="00C33A41" w:rsidRDefault="007B3952">
      <w:pPr>
        <w:spacing w:line="360" w:lineRule="auto"/>
        <w:ind w:firstLine="0"/>
        <w:jc w:val="center"/>
        <w:rPr>
          <w:color w:val="000000"/>
        </w:rPr>
      </w:pPr>
      <w:bookmarkStart w:id="0" w:name="_heading=h.2et92p0" w:colFirst="0" w:colLast="0"/>
      <w:bookmarkEnd w:id="0"/>
      <w:r>
        <w:rPr>
          <w:b/>
          <w:color w:val="000000"/>
        </w:rPr>
        <w:t>PANDEMIA E EXCLUSÃO SOCIAL: RUPTURAS SOCIAIS E PROJETOS DE VIDA DE ADOLESCENTES BRASILEIROS EM CUMPRIMENTO DE MEDIDA SOCIOEDUCATIVA DE INTERNAÇÃO</w:t>
      </w:r>
    </w:p>
    <w:p w14:paraId="648D7511" w14:textId="77777777" w:rsidR="00C33A41" w:rsidRDefault="00C33A41">
      <w:pPr>
        <w:spacing w:line="360" w:lineRule="auto"/>
        <w:ind w:firstLine="0"/>
        <w:rPr>
          <w:highlight w:val="yellow"/>
          <w:u w:val="single"/>
        </w:rPr>
      </w:pPr>
    </w:p>
    <w:p w14:paraId="21D0EF2F" w14:textId="77777777" w:rsidR="00C33A41" w:rsidRDefault="00C33A41">
      <w:pPr>
        <w:spacing w:line="360" w:lineRule="auto"/>
        <w:ind w:firstLine="0"/>
        <w:rPr>
          <w:highlight w:val="yellow"/>
          <w:u w:val="single"/>
        </w:rPr>
      </w:pPr>
    </w:p>
    <w:p w14:paraId="6774A807" w14:textId="77777777" w:rsidR="00C33A41" w:rsidRDefault="00C33A41">
      <w:pPr>
        <w:spacing w:line="360" w:lineRule="auto"/>
        <w:ind w:firstLine="0"/>
        <w:rPr>
          <w:highlight w:val="yellow"/>
          <w:u w:val="single"/>
        </w:rPr>
      </w:pPr>
    </w:p>
    <w:p w14:paraId="015EF91A" w14:textId="77777777" w:rsidR="00C33A41" w:rsidRDefault="00C33A41">
      <w:pPr>
        <w:spacing w:line="360" w:lineRule="auto"/>
        <w:ind w:firstLine="0"/>
        <w:rPr>
          <w:highlight w:val="yellow"/>
          <w:u w:val="single"/>
        </w:rPr>
      </w:pPr>
    </w:p>
    <w:p w14:paraId="338704C8" w14:textId="77777777" w:rsidR="00C33A41" w:rsidRDefault="00C33A41">
      <w:pPr>
        <w:spacing w:line="360" w:lineRule="auto"/>
        <w:ind w:firstLine="0"/>
        <w:rPr>
          <w:highlight w:val="yellow"/>
          <w:u w:val="single"/>
        </w:rPr>
      </w:pPr>
    </w:p>
    <w:p w14:paraId="5DCF382F" w14:textId="77777777" w:rsidR="00C33A41" w:rsidRDefault="00C33A41">
      <w:pPr>
        <w:spacing w:line="360" w:lineRule="auto"/>
        <w:ind w:firstLine="0"/>
        <w:rPr>
          <w:highlight w:val="yellow"/>
          <w:u w:val="single"/>
        </w:rPr>
      </w:pPr>
    </w:p>
    <w:p w14:paraId="71AB4C02" w14:textId="77777777" w:rsidR="00C33A41" w:rsidRDefault="007B3952">
      <w:pPr>
        <w:spacing w:line="360" w:lineRule="auto"/>
        <w:ind w:firstLine="0"/>
        <w:jc w:val="center"/>
        <w:rPr>
          <w:b/>
        </w:rPr>
      </w:pPr>
      <w:r>
        <w:rPr>
          <w:b/>
        </w:rPr>
        <w:t>SÃO CARLOS – SP</w:t>
      </w:r>
    </w:p>
    <w:p w14:paraId="538FE4A8" w14:textId="77777777" w:rsidR="00C33A41" w:rsidRDefault="007B3952">
      <w:pPr>
        <w:spacing w:line="360" w:lineRule="auto"/>
        <w:ind w:firstLine="0"/>
        <w:jc w:val="center"/>
      </w:pPr>
      <w:r>
        <w:rPr>
          <w:b/>
        </w:rPr>
        <w:t>2023</w:t>
      </w:r>
    </w:p>
    <w:p w14:paraId="5243EB81" w14:textId="77777777" w:rsidR="00C33A41" w:rsidRDefault="00C33A41">
      <w:pPr>
        <w:spacing w:line="240" w:lineRule="auto"/>
        <w:ind w:firstLine="0"/>
        <w:rPr>
          <w:b/>
        </w:rPr>
      </w:pPr>
    </w:p>
    <w:p w14:paraId="12AE91FA" w14:textId="77777777" w:rsidR="00C33A41" w:rsidRDefault="00C33A41">
      <w:pPr>
        <w:spacing w:line="240" w:lineRule="auto"/>
        <w:ind w:firstLine="0"/>
        <w:jc w:val="center"/>
        <w:rPr>
          <w:b/>
        </w:rPr>
      </w:pPr>
    </w:p>
    <w:p w14:paraId="4E22DCB1" w14:textId="77777777" w:rsidR="00C33A41" w:rsidRDefault="00C33A41">
      <w:pPr>
        <w:spacing w:line="240" w:lineRule="auto"/>
        <w:jc w:val="center"/>
        <w:rPr>
          <w:b/>
        </w:rPr>
      </w:pPr>
    </w:p>
    <w:p w14:paraId="2A7946F9" w14:textId="77777777" w:rsidR="00C33A41" w:rsidRDefault="00C33A41">
      <w:pPr>
        <w:spacing w:line="240" w:lineRule="auto"/>
        <w:jc w:val="center"/>
        <w:rPr>
          <w:b/>
        </w:rPr>
      </w:pPr>
    </w:p>
    <w:p w14:paraId="09A47BAD" w14:textId="77777777" w:rsidR="00C33A41" w:rsidRDefault="00C33A41">
      <w:pPr>
        <w:spacing w:line="240" w:lineRule="auto"/>
        <w:jc w:val="center"/>
        <w:rPr>
          <w:b/>
        </w:rPr>
      </w:pPr>
    </w:p>
    <w:p w14:paraId="06295EB0" w14:textId="77777777" w:rsidR="00C33A41" w:rsidRDefault="007B3952">
      <w:pPr>
        <w:spacing w:line="360" w:lineRule="auto"/>
        <w:ind w:firstLine="0"/>
        <w:jc w:val="center"/>
        <w:rPr>
          <w:b/>
        </w:rPr>
      </w:pPr>
      <w:r>
        <w:rPr>
          <w:b/>
        </w:rPr>
        <w:t>BÁRBARA CRISTINA SOARES SENA</w:t>
      </w:r>
    </w:p>
    <w:p w14:paraId="7C223A4F" w14:textId="77777777" w:rsidR="00C33A41" w:rsidRDefault="00C33A41">
      <w:pPr>
        <w:spacing w:line="360" w:lineRule="auto"/>
        <w:jc w:val="center"/>
        <w:rPr>
          <w:b/>
        </w:rPr>
      </w:pPr>
    </w:p>
    <w:p w14:paraId="4823E7A1" w14:textId="77777777" w:rsidR="00C33A41" w:rsidRDefault="00C33A41">
      <w:pPr>
        <w:spacing w:line="360" w:lineRule="auto"/>
        <w:jc w:val="center"/>
        <w:rPr>
          <w:b/>
        </w:rPr>
      </w:pPr>
    </w:p>
    <w:p w14:paraId="2479D9CA" w14:textId="77777777" w:rsidR="00C33A41" w:rsidRDefault="00C33A41">
      <w:pPr>
        <w:spacing w:line="360" w:lineRule="auto"/>
        <w:rPr>
          <w:b/>
        </w:rPr>
      </w:pPr>
    </w:p>
    <w:p w14:paraId="71A4ED1A" w14:textId="77777777" w:rsidR="00C33A41" w:rsidRDefault="00C33A41">
      <w:pPr>
        <w:spacing w:line="360" w:lineRule="auto"/>
        <w:rPr>
          <w:b/>
        </w:rPr>
      </w:pPr>
    </w:p>
    <w:p w14:paraId="5F28ECAA" w14:textId="77777777" w:rsidR="00C33A41" w:rsidRDefault="00C33A41">
      <w:pPr>
        <w:spacing w:line="360" w:lineRule="auto"/>
        <w:rPr>
          <w:b/>
        </w:rPr>
      </w:pPr>
    </w:p>
    <w:p w14:paraId="400C1717" w14:textId="77777777" w:rsidR="00C33A41" w:rsidRDefault="00C33A41">
      <w:pPr>
        <w:spacing w:line="360" w:lineRule="auto"/>
        <w:jc w:val="center"/>
        <w:rPr>
          <w:b/>
        </w:rPr>
      </w:pPr>
    </w:p>
    <w:p w14:paraId="2ADEA553" w14:textId="77777777" w:rsidR="00C33A41" w:rsidRDefault="007B3952">
      <w:pPr>
        <w:spacing w:line="360" w:lineRule="auto"/>
        <w:ind w:firstLine="0"/>
        <w:jc w:val="center"/>
        <w:rPr>
          <w:color w:val="000000"/>
        </w:rPr>
      </w:pPr>
      <w:r>
        <w:rPr>
          <w:b/>
          <w:color w:val="000000"/>
        </w:rPr>
        <w:t>PANDEMIA E EXCLUSÃO SOCIAL: RUPTURAS SOCIAIS E PROJETOS DE VIDA DE ADOLESCENTES BRASILEIROS EM CUMPRIMENTO DE MEDIDA SOCIOEDUCATIVA DE INTERNAÇÃO</w:t>
      </w:r>
    </w:p>
    <w:p w14:paraId="3A791E12" w14:textId="77777777" w:rsidR="00C33A41" w:rsidRDefault="00C33A41">
      <w:pPr>
        <w:spacing w:line="240" w:lineRule="auto"/>
        <w:jc w:val="center"/>
        <w:rPr>
          <w:b/>
        </w:rPr>
      </w:pPr>
    </w:p>
    <w:p w14:paraId="538365DD" w14:textId="77777777" w:rsidR="00C33A41" w:rsidRDefault="00C33A41">
      <w:pPr>
        <w:spacing w:line="240" w:lineRule="auto"/>
        <w:jc w:val="center"/>
        <w:rPr>
          <w:b/>
        </w:rPr>
      </w:pPr>
    </w:p>
    <w:p w14:paraId="72E7BA81" w14:textId="77777777" w:rsidR="00C33A41" w:rsidRDefault="00C33A41">
      <w:pPr>
        <w:spacing w:line="240" w:lineRule="auto"/>
        <w:rPr>
          <w:highlight w:val="yellow"/>
          <w:u w:val="single"/>
        </w:rPr>
      </w:pPr>
    </w:p>
    <w:p w14:paraId="3EEAE44B" w14:textId="77777777" w:rsidR="00C33A41" w:rsidRDefault="00C33A41">
      <w:pPr>
        <w:spacing w:line="240" w:lineRule="auto"/>
        <w:rPr>
          <w:highlight w:val="yellow"/>
          <w:u w:val="single"/>
        </w:rPr>
      </w:pPr>
    </w:p>
    <w:p w14:paraId="5444EDA2" w14:textId="77777777" w:rsidR="00C33A41" w:rsidRDefault="00C33A41">
      <w:pPr>
        <w:spacing w:line="240" w:lineRule="auto"/>
        <w:rPr>
          <w:highlight w:val="yellow"/>
          <w:u w:val="single"/>
        </w:rPr>
      </w:pPr>
    </w:p>
    <w:p w14:paraId="735D3844" w14:textId="77777777" w:rsidR="00C33A41" w:rsidRDefault="00C33A41">
      <w:pPr>
        <w:spacing w:line="240" w:lineRule="auto"/>
        <w:rPr>
          <w:highlight w:val="yellow"/>
          <w:u w:val="single"/>
        </w:rPr>
      </w:pPr>
    </w:p>
    <w:p w14:paraId="5A446F6E" w14:textId="77777777" w:rsidR="00C33A41" w:rsidRDefault="00C33A41">
      <w:pPr>
        <w:spacing w:line="240" w:lineRule="auto"/>
        <w:rPr>
          <w:highlight w:val="yellow"/>
          <w:u w:val="single"/>
        </w:rPr>
      </w:pPr>
    </w:p>
    <w:p w14:paraId="0E73AA01" w14:textId="77777777" w:rsidR="00C33A41" w:rsidRDefault="00C33A41">
      <w:pPr>
        <w:spacing w:line="240" w:lineRule="auto"/>
        <w:rPr>
          <w:highlight w:val="yellow"/>
          <w:u w:val="single"/>
        </w:rPr>
      </w:pPr>
    </w:p>
    <w:p w14:paraId="064D9014" w14:textId="77777777" w:rsidR="00C33A41" w:rsidRDefault="007B3952">
      <w:pPr>
        <w:spacing w:line="240" w:lineRule="auto"/>
        <w:ind w:left="4321" w:firstLine="0"/>
      </w:pPr>
      <w:r>
        <w:t>Tese apresentada ao Programa de Pós-Graduação em Psicologia da Universidade Federal de São Carlos, como requisito obrigatório para a obtenção do título de Doutorado em Psicologia.</w:t>
      </w:r>
    </w:p>
    <w:p w14:paraId="689D0D14" w14:textId="77777777" w:rsidR="00C33A41" w:rsidRDefault="007B3952">
      <w:pPr>
        <w:spacing w:line="240" w:lineRule="auto"/>
        <w:ind w:left="4321" w:firstLine="0"/>
        <w:rPr>
          <w:highlight w:val="yellow"/>
          <w:u w:val="single"/>
        </w:rPr>
      </w:pPr>
      <w:r>
        <w:t>Orientador: Dr. Alex Sandro Gomes Pessoa</w:t>
      </w:r>
    </w:p>
    <w:p w14:paraId="6C0BB2D9" w14:textId="77777777" w:rsidR="00C33A41" w:rsidRDefault="00C33A41">
      <w:pPr>
        <w:spacing w:line="240" w:lineRule="auto"/>
        <w:rPr>
          <w:highlight w:val="yellow"/>
          <w:u w:val="single"/>
        </w:rPr>
      </w:pPr>
    </w:p>
    <w:p w14:paraId="17D90EF8" w14:textId="77777777" w:rsidR="00C33A41" w:rsidRDefault="00C33A41">
      <w:pPr>
        <w:spacing w:line="240" w:lineRule="auto"/>
        <w:rPr>
          <w:highlight w:val="yellow"/>
          <w:u w:val="single"/>
        </w:rPr>
      </w:pPr>
    </w:p>
    <w:p w14:paraId="7D1FF55D" w14:textId="77777777" w:rsidR="00C33A41" w:rsidRDefault="00C33A41">
      <w:pPr>
        <w:spacing w:line="240" w:lineRule="auto"/>
        <w:rPr>
          <w:highlight w:val="yellow"/>
          <w:u w:val="single"/>
        </w:rPr>
      </w:pPr>
    </w:p>
    <w:p w14:paraId="4E14F69B" w14:textId="77777777" w:rsidR="00C33A41" w:rsidRDefault="00C33A41">
      <w:pPr>
        <w:spacing w:line="240" w:lineRule="auto"/>
        <w:rPr>
          <w:highlight w:val="yellow"/>
          <w:u w:val="single"/>
        </w:rPr>
      </w:pPr>
    </w:p>
    <w:p w14:paraId="154581E3" w14:textId="77777777" w:rsidR="00C33A41" w:rsidRDefault="00C33A41">
      <w:pPr>
        <w:spacing w:line="240" w:lineRule="auto"/>
        <w:rPr>
          <w:highlight w:val="yellow"/>
          <w:u w:val="single"/>
        </w:rPr>
      </w:pPr>
    </w:p>
    <w:p w14:paraId="26949252" w14:textId="77777777" w:rsidR="00C33A41" w:rsidRDefault="00C33A41">
      <w:pPr>
        <w:spacing w:line="240" w:lineRule="auto"/>
        <w:rPr>
          <w:highlight w:val="yellow"/>
          <w:u w:val="single"/>
        </w:rPr>
      </w:pPr>
    </w:p>
    <w:p w14:paraId="2CBE17C0" w14:textId="77777777" w:rsidR="00C33A41" w:rsidRDefault="00C33A41">
      <w:pPr>
        <w:spacing w:line="240" w:lineRule="auto"/>
        <w:rPr>
          <w:highlight w:val="yellow"/>
          <w:u w:val="single"/>
        </w:rPr>
      </w:pPr>
    </w:p>
    <w:p w14:paraId="13A1F0ED" w14:textId="77777777" w:rsidR="00C33A41" w:rsidRDefault="00C33A41">
      <w:pPr>
        <w:spacing w:line="240" w:lineRule="auto"/>
        <w:rPr>
          <w:highlight w:val="yellow"/>
          <w:u w:val="single"/>
        </w:rPr>
      </w:pPr>
    </w:p>
    <w:p w14:paraId="46A47536" w14:textId="77777777" w:rsidR="00C33A41" w:rsidRDefault="00C33A41">
      <w:pPr>
        <w:spacing w:line="240" w:lineRule="auto"/>
        <w:rPr>
          <w:highlight w:val="yellow"/>
          <w:u w:val="single"/>
        </w:rPr>
      </w:pPr>
    </w:p>
    <w:p w14:paraId="2E316C8A" w14:textId="77777777" w:rsidR="00C33A41" w:rsidRDefault="00C33A41">
      <w:pPr>
        <w:spacing w:line="240" w:lineRule="auto"/>
        <w:rPr>
          <w:highlight w:val="yellow"/>
          <w:u w:val="single"/>
        </w:rPr>
      </w:pPr>
    </w:p>
    <w:p w14:paraId="391DAE65" w14:textId="77777777" w:rsidR="00C33A41" w:rsidRDefault="00C33A41">
      <w:pPr>
        <w:spacing w:line="240" w:lineRule="auto"/>
        <w:rPr>
          <w:highlight w:val="yellow"/>
          <w:u w:val="single"/>
        </w:rPr>
      </w:pPr>
    </w:p>
    <w:p w14:paraId="42B81E60" w14:textId="77777777" w:rsidR="00C33A41" w:rsidRDefault="00C33A41">
      <w:pPr>
        <w:spacing w:line="240" w:lineRule="auto"/>
        <w:rPr>
          <w:highlight w:val="yellow"/>
          <w:u w:val="single"/>
        </w:rPr>
      </w:pPr>
    </w:p>
    <w:p w14:paraId="2C721FDE" w14:textId="77777777" w:rsidR="00C33A41" w:rsidRDefault="007B3952">
      <w:pPr>
        <w:spacing w:line="360" w:lineRule="auto"/>
        <w:ind w:firstLine="0"/>
        <w:jc w:val="center"/>
      </w:pPr>
      <w:r>
        <w:t>SÃO CARLOS – SP</w:t>
      </w:r>
    </w:p>
    <w:p w14:paraId="313D5D11" w14:textId="77777777" w:rsidR="00C33A41" w:rsidRDefault="007B3952">
      <w:pPr>
        <w:spacing w:line="360" w:lineRule="auto"/>
        <w:ind w:firstLine="0"/>
        <w:jc w:val="center"/>
      </w:pPr>
      <w:r>
        <w:t>2023</w:t>
      </w:r>
    </w:p>
    <w:p w14:paraId="1A2831B7" w14:textId="77777777" w:rsidR="00C33A41" w:rsidRDefault="00C33A41">
      <w:pPr>
        <w:rPr>
          <w:b/>
        </w:rPr>
      </w:pPr>
    </w:p>
    <w:p w14:paraId="1307F979" w14:textId="77777777" w:rsidR="00C33A41" w:rsidRDefault="007B3952">
      <w:pPr>
        <w:jc w:val="center"/>
        <w:rPr>
          <w:b/>
        </w:rPr>
      </w:pPr>
      <w:r>
        <w:rPr>
          <w:b/>
        </w:rPr>
        <w:t xml:space="preserve"> </w:t>
      </w:r>
    </w:p>
    <w:p w14:paraId="33FA4F14" w14:textId="77777777" w:rsidR="00C33A41" w:rsidRDefault="00C33A41">
      <w:pPr>
        <w:jc w:val="center"/>
        <w:rPr>
          <w:b/>
        </w:rPr>
      </w:pPr>
    </w:p>
    <w:p w14:paraId="24B88DFB" w14:textId="77777777" w:rsidR="00C33A41" w:rsidRDefault="00C33A41">
      <w:pPr>
        <w:jc w:val="center"/>
        <w:rPr>
          <w:b/>
        </w:rPr>
      </w:pPr>
    </w:p>
    <w:p w14:paraId="572B963F" w14:textId="77777777" w:rsidR="00C33A41" w:rsidRDefault="00C33A41">
      <w:pPr>
        <w:jc w:val="center"/>
        <w:rPr>
          <w:b/>
        </w:rPr>
      </w:pPr>
    </w:p>
    <w:p w14:paraId="3E2FD457" w14:textId="77777777" w:rsidR="00C33A41" w:rsidRDefault="00C33A41">
      <w:pPr>
        <w:jc w:val="center"/>
        <w:rPr>
          <w:b/>
        </w:rPr>
      </w:pPr>
    </w:p>
    <w:p w14:paraId="4BF1E532" w14:textId="77777777" w:rsidR="00C33A41" w:rsidRDefault="00C33A41">
      <w:pPr>
        <w:jc w:val="center"/>
        <w:rPr>
          <w:b/>
        </w:rPr>
      </w:pPr>
    </w:p>
    <w:p w14:paraId="19F295F8" w14:textId="77777777" w:rsidR="00C33A41" w:rsidRDefault="00C33A41">
      <w:pPr>
        <w:jc w:val="center"/>
        <w:rPr>
          <w:b/>
        </w:rPr>
      </w:pPr>
    </w:p>
    <w:p w14:paraId="0A7006AA" w14:textId="77777777" w:rsidR="00C33A41" w:rsidRDefault="00C33A41">
      <w:pPr>
        <w:jc w:val="center"/>
        <w:rPr>
          <w:b/>
        </w:rPr>
      </w:pPr>
    </w:p>
    <w:p w14:paraId="06BC6ABF" w14:textId="77777777" w:rsidR="00C33A41" w:rsidRDefault="00C33A41">
      <w:pPr>
        <w:jc w:val="center"/>
        <w:rPr>
          <w:b/>
        </w:rPr>
      </w:pPr>
    </w:p>
    <w:p w14:paraId="0557E3B4" w14:textId="77777777" w:rsidR="00C33A41" w:rsidRDefault="00C33A41">
      <w:pPr>
        <w:jc w:val="center"/>
        <w:rPr>
          <w:b/>
        </w:rPr>
      </w:pPr>
    </w:p>
    <w:p w14:paraId="17C71A5A" w14:textId="77777777" w:rsidR="00C33A41" w:rsidRDefault="00C33A41">
      <w:pPr>
        <w:jc w:val="center"/>
        <w:rPr>
          <w:b/>
        </w:rPr>
      </w:pPr>
    </w:p>
    <w:p w14:paraId="4C4ABDBF" w14:textId="77777777" w:rsidR="00C33A41" w:rsidRDefault="00C33A41">
      <w:pPr>
        <w:jc w:val="center"/>
        <w:rPr>
          <w:b/>
        </w:rPr>
      </w:pPr>
    </w:p>
    <w:p w14:paraId="6A5E1410" w14:textId="77777777" w:rsidR="00C33A41" w:rsidRDefault="00C33A41">
      <w:pPr>
        <w:jc w:val="center"/>
        <w:rPr>
          <w:b/>
        </w:rPr>
      </w:pPr>
    </w:p>
    <w:p w14:paraId="36349530" w14:textId="77777777" w:rsidR="00C33A41" w:rsidRDefault="00C33A41">
      <w:pPr>
        <w:jc w:val="center"/>
        <w:rPr>
          <w:b/>
        </w:rPr>
      </w:pPr>
    </w:p>
    <w:p w14:paraId="1A4C1115" w14:textId="77777777" w:rsidR="00C33A41" w:rsidRDefault="00C33A41">
      <w:pPr>
        <w:jc w:val="center"/>
        <w:rPr>
          <w:b/>
        </w:rPr>
      </w:pPr>
    </w:p>
    <w:p w14:paraId="73380068" w14:textId="77777777" w:rsidR="00C33A41" w:rsidRDefault="00C33A41">
      <w:pPr>
        <w:jc w:val="center"/>
        <w:rPr>
          <w:b/>
        </w:rPr>
      </w:pPr>
    </w:p>
    <w:p w14:paraId="4674954F" w14:textId="77777777" w:rsidR="00C33A41" w:rsidRDefault="00C33A41">
      <w:pPr>
        <w:jc w:val="center"/>
        <w:rPr>
          <w:b/>
        </w:rPr>
      </w:pPr>
    </w:p>
    <w:p w14:paraId="0190D763" w14:textId="77777777" w:rsidR="00C33A41" w:rsidRDefault="00C33A41">
      <w:pPr>
        <w:jc w:val="center"/>
        <w:rPr>
          <w:b/>
        </w:rPr>
      </w:pPr>
    </w:p>
    <w:p w14:paraId="2CA3A2B8" w14:textId="77777777" w:rsidR="00C33A41" w:rsidRDefault="00C33A41">
      <w:pPr>
        <w:jc w:val="center"/>
        <w:rPr>
          <w:b/>
        </w:rPr>
      </w:pPr>
    </w:p>
    <w:p w14:paraId="1CA637B3" w14:textId="77777777" w:rsidR="00C33A41" w:rsidRDefault="00C33A41">
      <w:pPr>
        <w:jc w:val="center"/>
        <w:rPr>
          <w:b/>
        </w:rPr>
      </w:pPr>
    </w:p>
    <w:p w14:paraId="2FB39E9D" w14:textId="77777777" w:rsidR="00C33A41" w:rsidRDefault="00C33A41">
      <w:pPr>
        <w:jc w:val="left"/>
        <w:rPr>
          <w:b/>
        </w:rPr>
      </w:pPr>
    </w:p>
    <w:p w14:paraId="18D8C14B" w14:textId="77777777" w:rsidR="00C33A41" w:rsidRDefault="007B3952">
      <w:pPr>
        <w:ind w:firstLine="0"/>
        <w:jc w:val="right"/>
        <w:rPr>
          <w:i/>
        </w:rPr>
      </w:pPr>
      <w:r>
        <w:rPr>
          <w:i/>
        </w:rPr>
        <w:t>Dedico este trabalho aos meus pais, Ana e Manoel, que são os meus maiores incentivadores.</w:t>
      </w:r>
    </w:p>
    <w:p w14:paraId="4E7C2AAE" w14:textId="77777777" w:rsidR="00C33A41" w:rsidRDefault="00C33A41">
      <w:pPr>
        <w:jc w:val="center"/>
        <w:rPr>
          <w:b/>
        </w:rPr>
      </w:pPr>
    </w:p>
    <w:p w14:paraId="0C7E41E6" w14:textId="77777777" w:rsidR="00C33A41" w:rsidRDefault="00C33A41">
      <w:pPr>
        <w:jc w:val="center"/>
        <w:rPr>
          <w:b/>
          <w:highlight w:val="yellow"/>
        </w:rPr>
      </w:pPr>
    </w:p>
    <w:p w14:paraId="62B2C6E8" w14:textId="77777777" w:rsidR="00C33A41" w:rsidRDefault="00C33A41">
      <w:pPr>
        <w:jc w:val="center"/>
        <w:rPr>
          <w:b/>
        </w:rPr>
      </w:pPr>
    </w:p>
    <w:p w14:paraId="7F858E84" w14:textId="77777777" w:rsidR="00C33A41" w:rsidRDefault="007B3952">
      <w:pPr>
        <w:ind w:firstLine="0"/>
        <w:jc w:val="center"/>
        <w:rPr>
          <w:b/>
        </w:rPr>
      </w:pPr>
      <w:r>
        <w:rPr>
          <w:b/>
        </w:rPr>
        <w:lastRenderedPageBreak/>
        <w:t>AGRADECIMENTOS</w:t>
      </w:r>
    </w:p>
    <w:p w14:paraId="41B94ECC" w14:textId="77777777" w:rsidR="00C33A41" w:rsidRDefault="007B3952">
      <w:pPr>
        <w:ind w:firstLine="708"/>
      </w:pPr>
      <w:r>
        <w:rPr>
          <w:color w:val="000000"/>
        </w:rPr>
        <w:t xml:space="preserve">Em primeiro lugar agradeço aos meus pais, </w:t>
      </w:r>
      <w:r>
        <w:rPr>
          <w:b/>
          <w:color w:val="000000"/>
        </w:rPr>
        <w:t>Ana</w:t>
      </w:r>
      <w:r>
        <w:rPr>
          <w:color w:val="000000"/>
        </w:rPr>
        <w:t xml:space="preserve"> e </w:t>
      </w:r>
      <w:r>
        <w:rPr>
          <w:b/>
          <w:color w:val="000000"/>
        </w:rPr>
        <w:t>Manoel</w:t>
      </w:r>
      <w:r>
        <w:rPr>
          <w:color w:val="000000"/>
        </w:rPr>
        <w:t>, que me trouxeram até aqui. Tenho plena convicção que não teria percorrido nem metade do caminho sem vocês. Cresci ouvindo vocês me dizendo para estudar, porque isso me tornaria uma pessoa melhor e me daria a possibilidade de ter escolhas na vida, escolhas estas que vocês não tiveram. Obrigada por cada renúncia pessoal que fizeram pela minha educação (e eu sei que foram muitas)! Obrigada por me convenceram, desde muito cedo, de que eu era capaz, mesmo quando o mundo dizia todos os dias para aquela menina negra e pobre que ela não era! Eu sei que vocês brigaram de cabo de guerra com esse mundo para não deixar que ele destruísse meus sonhos. Vocês sempre acreditaram mais em mim do que eu mesma! Vocês foram os maiores potencializadores de desenvolvimento que eu tive! Vocês são as melhores pessoas desse mundo! Obrigada por serem proteção!</w:t>
      </w:r>
    </w:p>
    <w:p w14:paraId="7D10B0B6" w14:textId="77777777" w:rsidR="00C33A41" w:rsidRDefault="007B3952">
      <w:pPr>
        <w:ind w:firstLine="708"/>
      </w:pPr>
      <w:r>
        <w:rPr>
          <w:color w:val="000000"/>
        </w:rPr>
        <w:t xml:space="preserve">Aos meus irmãos, </w:t>
      </w:r>
      <w:r>
        <w:rPr>
          <w:b/>
          <w:color w:val="000000"/>
        </w:rPr>
        <w:t>Bianca</w:t>
      </w:r>
      <w:r>
        <w:rPr>
          <w:color w:val="000000"/>
        </w:rPr>
        <w:t xml:space="preserve">, </w:t>
      </w:r>
      <w:r>
        <w:rPr>
          <w:b/>
          <w:color w:val="000000"/>
        </w:rPr>
        <w:t>Daniela</w:t>
      </w:r>
      <w:r>
        <w:rPr>
          <w:color w:val="000000"/>
        </w:rPr>
        <w:t xml:space="preserve">, </w:t>
      </w:r>
      <w:r>
        <w:rPr>
          <w:b/>
          <w:color w:val="000000"/>
        </w:rPr>
        <w:t>Eduardo</w:t>
      </w:r>
      <w:r>
        <w:rPr>
          <w:color w:val="000000"/>
        </w:rPr>
        <w:t xml:space="preserve"> e </w:t>
      </w:r>
      <w:r>
        <w:rPr>
          <w:b/>
          <w:color w:val="000000"/>
        </w:rPr>
        <w:t>Emanuel</w:t>
      </w:r>
      <w:r>
        <w:rPr>
          <w:color w:val="000000"/>
        </w:rPr>
        <w:t>, obrigada pelo apoio e incentivo que sempre deram, cada um à sua maneira. Alguns mais longe, outros mais perto e, ainda assim, nunca permitiram que me sentisse sozinha. Obrigada por torcerem e se alegrarem com todas as minhas conquistas!</w:t>
      </w:r>
    </w:p>
    <w:p w14:paraId="045836B3" w14:textId="77777777" w:rsidR="00C33A41" w:rsidRDefault="007B3952">
      <w:pPr>
        <w:ind w:firstLine="708"/>
      </w:pPr>
      <w:r>
        <w:rPr>
          <w:color w:val="000000"/>
        </w:rPr>
        <w:t xml:space="preserve">Não posso jamais deixar de tecer todos os agradecimentos possíveis a primeira referência acadêmica que tive. Obrigada </w:t>
      </w:r>
      <w:r>
        <w:rPr>
          <w:b/>
          <w:color w:val="000000"/>
        </w:rPr>
        <w:t>Camélia</w:t>
      </w:r>
      <w:r>
        <w:rPr>
          <w:color w:val="000000"/>
        </w:rPr>
        <w:t>! Sendo sempre repetitiva: você me encontrou lá no meio da graduação e nunca mais soltou a minha mão. Você ter me olhado, enxergado um potencial e me sinalizado isso foi como um farol sendo acesso no mar acadêmico que eu me encontrava à deriva. Obrigada por ser exemplo de caminho! Você me ensinou enquanto professora, me supervisionou enquanto estagiária, me orientou enquanto pesquisadora e me aprimora enquanto ser humano. Você foi o maior presente que o meio acadêmico me deu. Obrigada por tudo e por tanto!</w:t>
      </w:r>
    </w:p>
    <w:p w14:paraId="473718D0" w14:textId="77777777" w:rsidR="00C33A41" w:rsidRDefault="007B3952">
      <w:pPr>
        <w:ind w:firstLine="708"/>
      </w:pPr>
      <w:r>
        <w:rPr>
          <w:color w:val="000000"/>
        </w:rPr>
        <w:lastRenderedPageBreak/>
        <w:t xml:space="preserve">Meus agradecimentos também ao meu orientador </w:t>
      </w:r>
      <w:r>
        <w:rPr>
          <w:b/>
          <w:color w:val="000000"/>
        </w:rPr>
        <w:t>Alex Pessoa</w:t>
      </w:r>
      <w:r>
        <w:rPr>
          <w:color w:val="000000"/>
        </w:rPr>
        <w:t>, minha segunda grande referência acadêmica. Muito antes do doutorado, você sempre se prontificou a me auxiliar e colaborar com meu desenvolvimento. Confesso que no início tive medo de não corresponder ao nível de qualidade que sempre te vi colocar em seus trabalhos (é uma super responsabilidade ser orientanda de quem tem um nível tão alto quanto o seu! [risos]). Sempre te vi como uma inspiração de comprometimento, dedicação e conhecimento. Sem dúvidas, me oportunizou mais um mundo de aprendizagens durante o doutorado, sempre possibilitando espaços para que eu pudesse demonstrar meu potencial e reforçando qualidades que eu ainda duvidava que tinha. Obrigada também por toda confiança que depositou em mim e no meu processo junto a você! Obrigada pela compreensão quando passei por vivências familiares que atravessaram meu percurso acadêmico ao ponto de ter pensado em desistir. Talvez você nem dimensione o quanto isso foi importante para mim naqueles momentos e me possibilitou ter continuado. Você me ensinou a tornar o processo de pesquisa mais inspirador, estimulante e ainda mais crítico e comprometido socialmente. Obrigada por tudo! </w:t>
      </w:r>
    </w:p>
    <w:p w14:paraId="27BFCEB6" w14:textId="77777777" w:rsidR="00C33A41" w:rsidRDefault="007B3952">
      <w:pPr>
        <w:ind w:firstLine="708"/>
      </w:pPr>
      <w:r>
        <w:rPr>
          <w:color w:val="000000"/>
        </w:rPr>
        <w:t xml:space="preserve">Agradeço também a </w:t>
      </w:r>
      <w:r>
        <w:rPr>
          <w:b/>
          <w:color w:val="000000"/>
        </w:rPr>
        <w:t>Neli</w:t>
      </w:r>
      <w:r>
        <w:rPr>
          <w:color w:val="000000"/>
        </w:rPr>
        <w:t xml:space="preserve">, </w:t>
      </w:r>
      <w:r>
        <w:rPr>
          <w:b/>
          <w:color w:val="000000"/>
        </w:rPr>
        <w:t>Jaqueline</w:t>
      </w:r>
      <w:r>
        <w:rPr>
          <w:color w:val="000000"/>
        </w:rPr>
        <w:t xml:space="preserve">, </w:t>
      </w:r>
      <w:proofErr w:type="spellStart"/>
      <w:r>
        <w:rPr>
          <w:b/>
          <w:color w:val="000000"/>
        </w:rPr>
        <w:t>Haryadny</w:t>
      </w:r>
      <w:proofErr w:type="spellEnd"/>
      <w:r>
        <w:rPr>
          <w:color w:val="000000"/>
        </w:rPr>
        <w:t xml:space="preserve"> e </w:t>
      </w:r>
      <w:r>
        <w:rPr>
          <w:b/>
          <w:color w:val="000000"/>
        </w:rPr>
        <w:t>Rafael</w:t>
      </w:r>
      <w:r>
        <w:rPr>
          <w:color w:val="000000"/>
        </w:rPr>
        <w:t>. Meus amigos, que aventura foram esses últimos anos, não é?! Eu não teria aguentado sem vocês! Obrigada por desde o primeiro dia desse percurso terem me aguentado reclamar (risos). Vocês sabem como tive dificuldade de me sentir pertencente a espaços e processos ao longo deste doutorado. Não tenho dúvidas que vocês foram essenciais para que eu também não desistisse. Obrigada por toda parceria, aventura, loucura, cuidado e tudo mais que vivenciamos juntos nessa cidade chamada São Carlos! Vocês fizeram com que tudo se tornasse mais leve (e meu Deus, como foi pesado!). Posso dizer com tranquilidade que minhas maiores conquistas nesses anos não foram acadêmicas, mas sim relacionais. Obrigada pela amizade genuína construída!</w:t>
      </w:r>
    </w:p>
    <w:p w14:paraId="0469EC38" w14:textId="77777777" w:rsidR="00C33A41" w:rsidRDefault="007B3952">
      <w:pPr>
        <w:ind w:firstLine="708"/>
      </w:pPr>
      <w:r>
        <w:rPr>
          <w:color w:val="000000"/>
        </w:rPr>
        <w:lastRenderedPageBreak/>
        <w:t>Deixo meu agradecimento também às instituições por onde passei com a minha pesquisa e, principalmente, aos adolescentes que participaram! Agradeço por compartilharem temas e vivências tão significativas da vida de vocês. Mais do que agradecer, eu desejo muito que encontrem caminhos mais acolhedores, justos e protetivos. Que essa pesquisa possa de alguma forma subsidiar um conhecimento que nos ajude a pensar em formas melhores de auxiliar seus processos de desenvolvimento. Meu agradecimento, mais do que em palavras (que vocês nem irão ler), será em forma de comprometo socialmente em cada dia que exercer minha prática profissional daqui pra frente. </w:t>
      </w:r>
    </w:p>
    <w:p w14:paraId="6E97DA7C" w14:textId="77777777" w:rsidR="00C33A41" w:rsidRDefault="007B3952">
      <w:pPr>
        <w:ind w:firstLine="708"/>
      </w:pPr>
      <w:r>
        <w:rPr>
          <w:color w:val="000000"/>
        </w:rPr>
        <w:t>Por fim, agradeço a CAPES (Coordenação de Aperfeiçoamento de Pessoal de Nível Superior), que financiou esta pesquisa.</w:t>
      </w:r>
    </w:p>
    <w:p w14:paraId="52A5C573" w14:textId="77777777" w:rsidR="00C33A41" w:rsidRDefault="00C33A41">
      <w:pPr>
        <w:jc w:val="center"/>
        <w:rPr>
          <w:b/>
        </w:rPr>
      </w:pPr>
    </w:p>
    <w:p w14:paraId="3C94B71A" w14:textId="77777777" w:rsidR="00C33A41" w:rsidRDefault="00C33A41">
      <w:pPr>
        <w:jc w:val="center"/>
        <w:rPr>
          <w:b/>
        </w:rPr>
      </w:pPr>
    </w:p>
    <w:p w14:paraId="3041309F" w14:textId="77777777" w:rsidR="00C33A41" w:rsidRDefault="00C33A41">
      <w:pPr>
        <w:jc w:val="center"/>
        <w:rPr>
          <w:b/>
        </w:rPr>
      </w:pPr>
    </w:p>
    <w:p w14:paraId="4FF304E0" w14:textId="77777777" w:rsidR="00C33A41" w:rsidRDefault="00C33A41">
      <w:pPr>
        <w:jc w:val="center"/>
        <w:rPr>
          <w:b/>
        </w:rPr>
      </w:pPr>
    </w:p>
    <w:p w14:paraId="390ED94C" w14:textId="77777777" w:rsidR="00C33A41" w:rsidRDefault="00C33A41">
      <w:pPr>
        <w:jc w:val="center"/>
        <w:rPr>
          <w:b/>
        </w:rPr>
      </w:pPr>
    </w:p>
    <w:p w14:paraId="09B2FCDF" w14:textId="77777777" w:rsidR="00C33A41" w:rsidRDefault="00C33A41">
      <w:pPr>
        <w:jc w:val="center"/>
        <w:rPr>
          <w:b/>
        </w:rPr>
      </w:pPr>
    </w:p>
    <w:p w14:paraId="329BBCB2" w14:textId="77777777" w:rsidR="00C33A41" w:rsidRDefault="00C33A41">
      <w:pPr>
        <w:jc w:val="center"/>
        <w:rPr>
          <w:b/>
        </w:rPr>
      </w:pPr>
    </w:p>
    <w:p w14:paraId="1BA2CFA9" w14:textId="77777777" w:rsidR="00C33A41" w:rsidRDefault="00C33A41">
      <w:pPr>
        <w:jc w:val="center"/>
        <w:rPr>
          <w:b/>
        </w:rPr>
      </w:pPr>
    </w:p>
    <w:p w14:paraId="50053573" w14:textId="77777777" w:rsidR="00C33A41" w:rsidRDefault="00C33A41">
      <w:pPr>
        <w:jc w:val="center"/>
        <w:rPr>
          <w:b/>
        </w:rPr>
      </w:pPr>
    </w:p>
    <w:p w14:paraId="72E05950" w14:textId="77777777" w:rsidR="00C33A41" w:rsidRDefault="00C33A41">
      <w:pPr>
        <w:jc w:val="center"/>
        <w:rPr>
          <w:b/>
        </w:rPr>
      </w:pPr>
    </w:p>
    <w:p w14:paraId="23CF386B" w14:textId="77777777" w:rsidR="00C33A41" w:rsidRDefault="00C33A41">
      <w:pPr>
        <w:jc w:val="center"/>
        <w:rPr>
          <w:b/>
        </w:rPr>
      </w:pPr>
    </w:p>
    <w:p w14:paraId="5FB418FE" w14:textId="77777777" w:rsidR="00C33A41" w:rsidRDefault="00C33A41">
      <w:pPr>
        <w:jc w:val="center"/>
        <w:rPr>
          <w:b/>
        </w:rPr>
      </w:pPr>
    </w:p>
    <w:p w14:paraId="1B2FA3FD" w14:textId="77777777" w:rsidR="00C33A41" w:rsidRDefault="00C33A41">
      <w:pPr>
        <w:jc w:val="center"/>
        <w:rPr>
          <w:b/>
        </w:rPr>
      </w:pPr>
    </w:p>
    <w:p w14:paraId="0DB2E0FA" w14:textId="77777777" w:rsidR="00C33A41" w:rsidRDefault="00C33A41">
      <w:pPr>
        <w:jc w:val="center"/>
        <w:rPr>
          <w:b/>
        </w:rPr>
      </w:pPr>
    </w:p>
    <w:p w14:paraId="226D95E9" w14:textId="77777777" w:rsidR="00C33A41" w:rsidRDefault="00C33A41">
      <w:pPr>
        <w:jc w:val="center"/>
        <w:rPr>
          <w:b/>
        </w:rPr>
      </w:pPr>
    </w:p>
    <w:p w14:paraId="611CE33C" w14:textId="77777777" w:rsidR="00C33A41" w:rsidRDefault="00C33A41">
      <w:pPr>
        <w:jc w:val="center"/>
        <w:rPr>
          <w:b/>
        </w:rPr>
      </w:pPr>
    </w:p>
    <w:p w14:paraId="2C465B9A" w14:textId="77777777" w:rsidR="00C33A41" w:rsidRDefault="00C33A41">
      <w:pPr>
        <w:jc w:val="center"/>
        <w:rPr>
          <w:b/>
        </w:rPr>
      </w:pPr>
    </w:p>
    <w:p w14:paraId="2234DE84" w14:textId="77777777" w:rsidR="00C33A41" w:rsidRDefault="00C33A41">
      <w:pPr>
        <w:jc w:val="center"/>
        <w:rPr>
          <w:b/>
        </w:rPr>
      </w:pPr>
    </w:p>
    <w:p w14:paraId="614930F0" w14:textId="77777777" w:rsidR="00C33A41" w:rsidRDefault="00C33A41">
      <w:pPr>
        <w:jc w:val="center"/>
        <w:rPr>
          <w:b/>
        </w:rPr>
      </w:pPr>
    </w:p>
    <w:p w14:paraId="4FE74FDD" w14:textId="77777777" w:rsidR="00C33A41" w:rsidRDefault="00C33A41">
      <w:pPr>
        <w:jc w:val="center"/>
        <w:rPr>
          <w:b/>
        </w:rPr>
      </w:pPr>
    </w:p>
    <w:p w14:paraId="77EFA19B" w14:textId="77777777" w:rsidR="00C33A41" w:rsidRDefault="00C33A41">
      <w:pPr>
        <w:jc w:val="center"/>
        <w:rPr>
          <w:b/>
        </w:rPr>
      </w:pPr>
    </w:p>
    <w:p w14:paraId="3F17ACB9" w14:textId="77777777" w:rsidR="00C33A41" w:rsidRDefault="00C33A41">
      <w:pPr>
        <w:jc w:val="center"/>
        <w:rPr>
          <w:b/>
        </w:rPr>
      </w:pPr>
    </w:p>
    <w:p w14:paraId="0A4A00F7" w14:textId="77777777" w:rsidR="00C33A41" w:rsidRDefault="00C33A41">
      <w:pPr>
        <w:jc w:val="center"/>
        <w:rPr>
          <w:b/>
        </w:rPr>
      </w:pPr>
    </w:p>
    <w:p w14:paraId="5413A958" w14:textId="77777777" w:rsidR="00C33A41" w:rsidRDefault="00C33A41">
      <w:pPr>
        <w:jc w:val="center"/>
        <w:rPr>
          <w:b/>
        </w:rPr>
      </w:pPr>
    </w:p>
    <w:p w14:paraId="115475DB" w14:textId="77777777" w:rsidR="00C33A41" w:rsidRDefault="00C33A41">
      <w:pPr>
        <w:jc w:val="center"/>
        <w:rPr>
          <w:b/>
        </w:rPr>
      </w:pPr>
    </w:p>
    <w:p w14:paraId="703A00B6" w14:textId="77777777" w:rsidR="00C33A41" w:rsidRDefault="00C33A41">
      <w:pPr>
        <w:jc w:val="center"/>
        <w:rPr>
          <w:b/>
        </w:rPr>
      </w:pPr>
    </w:p>
    <w:p w14:paraId="7C3A421F" w14:textId="77777777" w:rsidR="00C33A41" w:rsidRDefault="00C33A41">
      <w:pPr>
        <w:jc w:val="center"/>
        <w:rPr>
          <w:b/>
        </w:rPr>
      </w:pPr>
    </w:p>
    <w:p w14:paraId="620790C7" w14:textId="77777777" w:rsidR="00C33A41" w:rsidRDefault="00C33A41">
      <w:pPr>
        <w:jc w:val="center"/>
        <w:rPr>
          <w:b/>
        </w:rPr>
      </w:pPr>
    </w:p>
    <w:p w14:paraId="574A0353" w14:textId="77777777" w:rsidR="00C33A41" w:rsidRDefault="00C33A41">
      <w:pPr>
        <w:rPr>
          <w:b/>
        </w:rPr>
      </w:pPr>
    </w:p>
    <w:p w14:paraId="4D6E699C" w14:textId="77777777" w:rsidR="00C33A41" w:rsidRDefault="00C33A41">
      <w:pPr>
        <w:jc w:val="center"/>
        <w:rPr>
          <w:b/>
        </w:rPr>
      </w:pPr>
    </w:p>
    <w:p w14:paraId="1FD65313" w14:textId="77777777" w:rsidR="00C33A41" w:rsidRDefault="007B3952">
      <w:pPr>
        <w:ind w:firstLine="0"/>
        <w:jc w:val="right"/>
        <w:rPr>
          <w:i/>
        </w:rPr>
      </w:pPr>
      <w:r>
        <w:rPr>
          <w:i/>
        </w:rPr>
        <w:t>[...] Se eu pudesse eu tocava em meu destino</w:t>
      </w:r>
    </w:p>
    <w:p w14:paraId="7C3DCBBA" w14:textId="77777777" w:rsidR="00C33A41" w:rsidRDefault="007B3952">
      <w:pPr>
        <w:ind w:firstLine="0"/>
        <w:jc w:val="right"/>
        <w:rPr>
          <w:i/>
        </w:rPr>
      </w:pPr>
      <w:r>
        <w:rPr>
          <w:i/>
        </w:rPr>
        <w:t>Hoje eu seria alguém</w:t>
      </w:r>
    </w:p>
    <w:p w14:paraId="69BD97E1" w14:textId="77777777" w:rsidR="00C33A41" w:rsidRDefault="007B3952">
      <w:pPr>
        <w:ind w:firstLine="0"/>
        <w:jc w:val="right"/>
        <w:rPr>
          <w:i/>
        </w:rPr>
      </w:pPr>
      <w:r>
        <w:rPr>
          <w:i/>
        </w:rPr>
        <w:t>Seria eu um intelectual</w:t>
      </w:r>
    </w:p>
    <w:p w14:paraId="29786F93" w14:textId="77777777" w:rsidR="00C33A41" w:rsidRDefault="007B3952">
      <w:pPr>
        <w:ind w:firstLine="0"/>
        <w:jc w:val="right"/>
        <w:rPr>
          <w:i/>
        </w:rPr>
      </w:pPr>
      <w:r>
        <w:rPr>
          <w:i/>
        </w:rPr>
        <w:t>Mas como não tive chance de ter estudado em colégio legal</w:t>
      </w:r>
    </w:p>
    <w:p w14:paraId="0C5D3645" w14:textId="77777777" w:rsidR="00C33A41" w:rsidRDefault="007B3952">
      <w:pPr>
        <w:ind w:firstLine="0"/>
        <w:jc w:val="right"/>
        <w:rPr>
          <w:i/>
        </w:rPr>
      </w:pPr>
      <w:r>
        <w:rPr>
          <w:i/>
        </w:rPr>
        <w:t>Muitos me chamam pivete</w:t>
      </w:r>
    </w:p>
    <w:p w14:paraId="6EF79CB3" w14:textId="77777777" w:rsidR="00C33A41" w:rsidRDefault="007B3952">
      <w:pPr>
        <w:ind w:firstLine="0"/>
        <w:jc w:val="right"/>
        <w:rPr>
          <w:i/>
        </w:rPr>
      </w:pPr>
      <w:r>
        <w:rPr>
          <w:i/>
        </w:rPr>
        <w:t>Mas poucos me deram um apoio moral</w:t>
      </w:r>
    </w:p>
    <w:p w14:paraId="2C43829A" w14:textId="77777777" w:rsidR="00C33A41" w:rsidRDefault="007B3952">
      <w:pPr>
        <w:ind w:firstLine="0"/>
        <w:jc w:val="right"/>
        <w:rPr>
          <w:i/>
        </w:rPr>
      </w:pPr>
      <w:r>
        <w:rPr>
          <w:i/>
        </w:rPr>
        <w:t>Se eu pudesse eu não seria um problema social</w:t>
      </w:r>
    </w:p>
    <w:p w14:paraId="34F62649" w14:textId="77777777" w:rsidR="00C33A41" w:rsidRDefault="007B3952">
      <w:pPr>
        <w:ind w:firstLine="0"/>
        <w:jc w:val="right"/>
        <w:rPr>
          <w:b/>
        </w:rPr>
      </w:pPr>
      <w:r>
        <w:rPr>
          <w:b/>
          <w:i/>
        </w:rPr>
        <w:t>(Problema Social, Seu Jorge)</w:t>
      </w:r>
    </w:p>
    <w:p w14:paraId="62279E47" w14:textId="77777777" w:rsidR="00C33A41" w:rsidRDefault="00C33A41">
      <w:pPr>
        <w:rPr>
          <w:b/>
        </w:rPr>
      </w:pPr>
    </w:p>
    <w:p w14:paraId="24EFE8E1" w14:textId="77777777" w:rsidR="00C33A41" w:rsidRDefault="007B3952">
      <w:pPr>
        <w:ind w:firstLine="0"/>
        <w:jc w:val="center"/>
        <w:rPr>
          <w:b/>
        </w:rPr>
      </w:pPr>
      <w:r>
        <w:rPr>
          <w:b/>
        </w:rPr>
        <w:lastRenderedPageBreak/>
        <w:t>RESUMO</w:t>
      </w:r>
    </w:p>
    <w:p w14:paraId="22C5C679" w14:textId="77777777" w:rsidR="00C33A41" w:rsidRDefault="007B3952">
      <w:pPr>
        <w:spacing w:line="240" w:lineRule="auto"/>
        <w:ind w:firstLine="0"/>
        <w:rPr>
          <w:color w:val="FF0000"/>
        </w:rPr>
      </w:pPr>
      <w:r>
        <w:rPr>
          <w:color w:val="000000"/>
        </w:rPr>
        <w:t>A pandemia do COVID-19 acentuou a preocupação sobre as condições de adolescentes em situação de vulnerabilidade social no Brasil e no mundo. As medidas de contenção e as consequências sanitárias, econômicas e sociais aumentaram os riscos já vivenciados por essa população. Sendo assim, a presente pesquisa te</w:t>
      </w:r>
      <w:r>
        <w:t>ve</w:t>
      </w:r>
      <w:r>
        <w:rPr>
          <w:color w:val="000000"/>
        </w:rPr>
        <w:t xml:space="preserve"> como objetivo central </w:t>
      </w:r>
      <w:r>
        <w:rPr>
          <w:color w:val="000000"/>
          <w:highlight w:val="white"/>
        </w:rPr>
        <w:t xml:space="preserve">compreender </w:t>
      </w:r>
      <w:r>
        <w:rPr>
          <w:highlight w:val="white"/>
        </w:rPr>
        <w:t>os impactos que a pandemia teve no que se refere a</w:t>
      </w:r>
      <w:r>
        <w:rPr>
          <w:color w:val="000000"/>
          <w:highlight w:val="white"/>
        </w:rPr>
        <w:t xml:space="preserve"> rupturas sociais e relacionais provocadas pela pandemia do COVID-19 na vida de adolescentes em situação de </w:t>
      </w:r>
      <w:r>
        <w:rPr>
          <w:highlight w:val="white"/>
        </w:rPr>
        <w:t xml:space="preserve">exclusão </w:t>
      </w:r>
      <w:r>
        <w:rPr>
          <w:color w:val="000000"/>
          <w:highlight w:val="white"/>
        </w:rPr>
        <w:t>social, mais especificamente, adolescentes em cumprimento de medidas socioeducativas de internação. Além disso, também objetivou-se verificar as influências e alterações do contexto pandêmico nos seus projetos de vida e expectativas futuras.</w:t>
      </w:r>
      <w:r>
        <w:rPr>
          <w:color w:val="000000"/>
        </w:rPr>
        <w:t xml:space="preserve"> Com base nos pressupostos da teoria Bioecológica do Desenvolvimento Humano, busc</w:t>
      </w:r>
      <w:r>
        <w:t>ou-se</w:t>
      </w:r>
      <w:r>
        <w:rPr>
          <w:color w:val="000000"/>
        </w:rPr>
        <w:t xml:space="preserve"> desenvolver análises que permitiram articular o impacto da pandemia nos contextos dos adolescentes que já vivenciavam situações de </w:t>
      </w:r>
      <w:r>
        <w:t xml:space="preserve">exclusão social </w:t>
      </w:r>
      <w:r>
        <w:rPr>
          <w:color w:val="000000"/>
        </w:rPr>
        <w:t xml:space="preserve">e seus desdobramentos frente a possíveis rompimentos com pessoas e espaços significativos, assim como nos seus projetos </w:t>
      </w:r>
      <w:r>
        <w:t>de vida.</w:t>
      </w:r>
      <w:r>
        <w:rPr>
          <w:color w:val="000000"/>
        </w:rPr>
        <w:t xml:space="preserve"> Tratou-se de um estudo </w:t>
      </w:r>
      <w:r>
        <w:t>qualitativo</w:t>
      </w:r>
      <w:r>
        <w:rPr>
          <w:color w:val="000000"/>
        </w:rPr>
        <w:t>, exploratório descritivo e com delineamento transversal. Participa</w:t>
      </w:r>
      <w:r>
        <w:t>ram</w:t>
      </w:r>
      <w:r>
        <w:rPr>
          <w:color w:val="000000"/>
        </w:rPr>
        <w:t xml:space="preserve"> da investigação 22 ad</w:t>
      </w:r>
      <w:r>
        <w:rPr>
          <w:color w:val="00000A"/>
        </w:rPr>
        <w:t xml:space="preserve">olescentes residentes nas cinco macrorregiões do Brasil, com idade entre 16 e 19 anos, do sexo masculino e em cumprimento de medida socioeducativa de internação. </w:t>
      </w:r>
      <w:r>
        <w:rPr>
          <w:color w:val="000000"/>
        </w:rPr>
        <w:t xml:space="preserve">Para a coleta de dados, </w:t>
      </w:r>
      <w:r>
        <w:t xml:space="preserve">foram </w:t>
      </w:r>
      <w:r>
        <w:rPr>
          <w:color w:val="000000"/>
        </w:rPr>
        <w:t>utilizados os seguintes</w:t>
      </w:r>
      <w:r>
        <w:t xml:space="preserve"> </w:t>
      </w:r>
      <w:r>
        <w:rPr>
          <w:color w:val="000000"/>
        </w:rPr>
        <w:t xml:space="preserve">instrumentos: i) Questionário de caracterização sociodemográfica dos participantes; </w:t>
      </w:r>
      <w:proofErr w:type="spellStart"/>
      <w:r>
        <w:rPr>
          <w:color w:val="000000"/>
          <w:u w:val="single"/>
        </w:rPr>
        <w:t>ii</w:t>
      </w:r>
      <w:proofErr w:type="spellEnd"/>
      <w:r>
        <w:rPr>
          <w:color w:val="000000"/>
          <w:u w:val="single"/>
        </w:rPr>
        <w:t>)</w:t>
      </w:r>
      <w:r>
        <w:rPr>
          <w:color w:val="000000"/>
        </w:rPr>
        <w:t xml:space="preserve"> </w:t>
      </w:r>
      <w:r>
        <w:t xml:space="preserve">     </w:t>
      </w:r>
      <w:r>
        <w:rPr>
          <w:color w:val="000000"/>
        </w:rPr>
        <w:t xml:space="preserve">Questionário Projeto de Vida; e </w:t>
      </w:r>
      <w:proofErr w:type="spellStart"/>
      <w:r>
        <w:rPr>
          <w:color w:val="000000"/>
        </w:rPr>
        <w:t>i</w:t>
      </w:r>
      <w:r>
        <w:t>ii</w:t>
      </w:r>
      <w:proofErr w:type="spellEnd"/>
      <w:r>
        <w:rPr>
          <w:color w:val="000000"/>
        </w:rPr>
        <w:t xml:space="preserve">) Entrevista Semiestruturada. Para a análise dos dados </w:t>
      </w:r>
      <w:r>
        <w:t>foi empregada a</w:t>
      </w:r>
      <w:r>
        <w:rPr>
          <w:color w:val="000000"/>
        </w:rPr>
        <w:t xml:space="preserve"> técnica de Análise Temática (AT</w:t>
      </w:r>
      <w:r>
        <w:t>). Os resultados apontam que a pandemia do Covid-19 impactou, consideravelmente, os vínculos sociais e relacionais dos adolescentes que estavam em internação. Observou-se uma acentuação, especificamente, de rupturas com os espaços escolares, visto que já existiam dificuldades antes da pandemia e essas foram agravadas pela forma de organização dos espaços educativos. Mas, ao mesmo tempo, também houve um reforço das relações familiares desses adolescentes, principalmente, devido ao aumento do convívio possibilitado pelo período de isolamento social. Já no que se refere aos projetos de vida, a pesquisa revelou uma percepção positiva dos adolescentes na identificação da presença de metas e expectativas de futuro. Porém, o contexto da pandemia inseriu ainda mais dificultadores na realidade dos adolescentes que já vivenciavam situações de exclusão social, como a ausência de trabalhos e agravamento da dificuldade socioeconômicas. A tese questiona, de tal maneira, o olhar acrítico e hegemônico direcionado a população investigada no que se refere aos temas abordados. Uma concepção individualizante dos fatores envolvidos no desenvolvimento pode ocasionar análises e práticas enviesadas sobre aspectos importantes para o presente e o futuro desses adolescentes.</w:t>
      </w:r>
    </w:p>
    <w:p w14:paraId="185BD56B" w14:textId="77777777" w:rsidR="00C33A41" w:rsidRDefault="00C33A41">
      <w:pPr>
        <w:spacing w:line="240" w:lineRule="auto"/>
        <w:rPr>
          <w:color w:val="FF0000"/>
        </w:rPr>
      </w:pPr>
    </w:p>
    <w:p w14:paraId="16172BF6" w14:textId="77777777" w:rsidR="00C33A41" w:rsidRDefault="007B3952">
      <w:pPr>
        <w:spacing w:line="240" w:lineRule="auto"/>
        <w:ind w:firstLine="0"/>
        <w:rPr>
          <w:color w:val="000000"/>
        </w:rPr>
      </w:pPr>
      <w:r>
        <w:rPr>
          <w:b/>
          <w:color w:val="000000"/>
        </w:rPr>
        <w:t xml:space="preserve">Palavras-chave: </w:t>
      </w:r>
      <w:r>
        <w:rPr>
          <w:color w:val="000000"/>
        </w:rPr>
        <w:t xml:space="preserve">Covid-19; Pandemia; Adolescente; </w:t>
      </w:r>
      <w:r>
        <w:t>Exclusão</w:t>
      </w:r>
      <w:r>
        <w:rPr>
          <w:color w:val="000000"/>
        </w:rPr>
        <w:t xml:space="preserve"> social; Medida Socioeducativa de Internação.</w:t>
      </w:r>
    </w:p>
    <w:p w14:paraId="11FE37CA" w14:textId="77777777" w:rsidR="00C33A41" w:rsidRDefault="00C33A41">
      <w:pPr>
        <w:rPr>
          <w:b/>
          <w:color w:val="000000"/>
        </w:rPr>
      </w:pPr>
    </w:p>
    <w:p w14:paraId="60AEF56E" w14:textId="77777777" w:rsidR="00C33A41" w:rsidRDefault="00C33A41">
      <w:pPr>
        <w:rPr>
          <w:b/>
        </w:rPr>
      </w:pPr>
    </w:p>
    <w:p w14:paraId="330A6DE1" w14:textId="77777777" w:rsidR="00C33A41" w:rsidRDefault="00C33A41">
      <w:pPr>
        <w:jc w:val="center"/>
        <w:rPr>
          <w:b/>
        </w:rPr>
      </w:pPr>
    </w:p>
    <w:p w14:paraId="32262050" w14:textId="77777777" w:rsidR="00C33A41" w:rsidRDefault="00C33A41">
      <w:pPr>
        <w:rPr>
          <w:highlight w:val="yellow"/>
          <w:u w:val="single"/>
        </w:rPr>
      </w:pPr>
    </w:p>
    <w:p w14:paraId="7BB27327" w14:textId="77777777" w:rsidR="00C33A41" w:rsidRDefault="00C33A41">
      <w:pPr>
        <w:jc w:val="center"/>
        <w:rPr>
          <w:b/>
        </w:rPr>
      </w:pPr>
    </w:p>
    <w:p w14:paraId="07F8940F" w14:textId="77777777" w:rsidR="00C33A41" w:rsidRDefault="007B3952">
      <w:pPr>
        <w:ind w:firstLine="0"/>
        <w:jc w:val="center"/>
        <w:rPr>
          <w:b/>
        </w:rPr>
      </w:pPr>
      <w:r>
        <w:rPr>
          <w:b/>
        </w:rPr>
        <w:lastRenderedPageBreak/>
        <w:t>LISTA DE TABELAS</w:t>
      </w:r>
    </w:p>
    <w:p w14:paraId="6654C4B6" w14:textId="77777777" w:rsidR="00C33A41" w:rsidRDefault="007B3952">
      <w:pPr>
        <w:ind w:firstLine="0"/>
      </w:pPr>
      <w:r>
        <w:t>Tabela 1 – Caracterização sociodemográfica dos participantes.....................................42</w:t>
      </w:r>
    </w:p>
    <w:p w14:paraId="5D0B5BF9" w14:textId="77777777" w:rsidR="00C33A41" w:rsidRDefault="007B3952">
      <w:pPr>
        <w:ind w:firstLine="0"/>
      </w:pPr>
      <w:r>
        <w:t>Tabela 2 – Resultado da Análise Temática....................................................................57</w:t>
      </w:r>
    </w:p>
    <w:p w14:paraId="17D441D7" w14:textId="77777777" w:rsidR="00C33A41" w:rsidRDefault="007B3952">
      <w:pPr>
        <w:ind w:firstLine="0"/>
      </w:pPr>
      <w:r>
        <w:t>Tabela 3 – Tematização das metas da Escala de Projetos de Vida…………………</w:t>
      </w:r>
      <w:proofErr w:type="gramStart"/>
      <w:r>
        <w:t>.....</w:t>
      </w:r>
      <w:proofErr w:type="gramEnd"/>
      <w:r>
        <w:t>97</w:t>
      </w:r>
    </w:p>
    <w:p w14:paraId="44EE9B8A" w14:textId="77777777" w:rsidR="00C33A41" w:rsidRDefault="00C33A41">
      <w:pPr>
        <w:ind w:firstLine="0"/>
        <w:jc w:val="center"/>
        <w:rPr>
          <w:b/>
        </w:rPr>
      </w:pPr>
    </w:p>
    <w:p w14:paraId="10D1CD16" w14:textId="77777777" w:rsidR="00C33A41" w:rsidRDefault="007B3952">
      <w:pPr>
        <w:ind w:firstLine="0"/>
        <w:jc w:val="center"/>
        <w:rPr>
          <w:b/>
        </w:rPr>
      </w:pPr>
      <w:r>
        <w:rPr>
          <w:b/>
        </w:rPr>
        <w:t>LISTA DE GRÁFICOS</w:t>
      </w:r>
    </w:p>
    <w:p w14:paraId="5BB57133" w14:textId="77777777" w:rsidR="00C33A41" w:rsidRDefault="007B3952">
      <w:pPr>
        <w:ind w:firstLine="0"/>
        <w:rPr>
          <w:highlight w:val="yellow"/>
        </w:rPr>
      </w:pPr>
      <w:r>
        <w:t>Gráfico 1 – Síntese dos Fatores Identificação e Envolvimento do Questionário de Projetos de vida............................................................................................................................94</w:t>
      </w:r>
    </w:p>
    <w:p w14:paraId="5AC491CF" w14:textId="77777777" w:rsidR="00C33A41" w:rsidRDefault="007B3952">
      <w:pPr>
        <w:ind w:firstLine="0"/>
        <w:rPr>
          <w:highlight w:val="yellow"/>
        </w:rPr>
      </w:pPr>
      <w:r>
        <w:t>Gráfico 2 – Extensão das metas dos adolescentes…………………………………….99</w:t>
      </w:r>
    </w:p>
    <w:p w14:paraId="421A9BB3" w14:textId="77777777" w:rsidR="00C33A41" w:rsidRDefault="00C33A41">
      <w:pPr>
        <w:ind w:firstLine="0"/>
      </w:pPr>
    </w:p>
    <w:p w14:paraId="11D3F247" w14:textId="77777777" w:rsidR="00C33A41" w:rsidRDefault="007B3952">
      <w:pPr>
        <w:ind w:firstLine="0"/>
        <w:jc w:val="center"/>
        <w:rPr>
          <w:b/>
        </w:rPr>
      </w:pPr>
      <w:r>
        <w:rPr>
          <w:b/>
        </w:rPr>
        <w:t>LISTA DE FIGURAS</w:t>
      </w:r>
    </w:p>
    <w:p w14:paraId="0B0255E1" w14:textId="77777777" w:rsidR="00C33A41" w:rsidRDefault="007B3952">
      <w:pPr>
        <w:ind w:firstLine="0"/>
        <w:rPr>
          <w:highlight w:val="yellow"/>
        </w:rPr>
      </w:pPr>
      <w:r>
        <w:t>Figura 1. Intensidade da restrição do contato com outras pessoas……………………53</w:t>
      </w:r>
    </w:p>
    <w:p w14:paraId="73A5422C" w14:textId="77777777" w:rsidR="00C33A41" w:rsidRDefault="00C33A41">
      <w:pPr>
        <w:rPr>
          <w:b/>
        </w:rPr>
      </w:pPr>
    </w:p>
    <w:p w14:paraId="25E87CFC" w14:textId="77777777" w:rsidR="00C33A41" w:rsidRDefault="00C33A41">
      <w:pPr>
        <w:jc w:val="center"/>
        <w:rPr>
          <w:b/>
        </w:rPr>
      </w:pPr>
    </w:p>
    <w:p w14:paraId="630F91B5" w14:textId="77777777" w:rsidR="00C33A41" w:rsidRDefault="00C33A41">
      <w:pPr>
        <w:jc w:val="center"/>
        <w:rPr>
          <w:b/>
        </w:rPr>
      </w:pPr>
    </w:p>
    <w:p w14:paraId="6755B580" w14:textId="77777777" w:rsidR="00C33A41" w:rsidRDefault="00C33A41">
      <w:pPr>
        <w:jc w:val="center"/>
        <w:rPr>
          <w:b/>
        </w:rPr>
      </w:pPr>
    </w:p>
    <w:p w14:paraId="5E20ED27" w14:textId="77777777" w:rsidR="00C33A41" w:rsidRDefault="00C33A41">
      <w:pPr>
        <w:jc w:val="center"/>
        <w:rPr>
          <w:b/>
        </w:rPr>
      </w:pPr>
    </w:p>
    <w:p w14:paraId="3036E276" w14:textId="77777777" w:rsidR="00C33A41" w:rsidRDefault="00C33A41">
      <w:pPr>
        <w:jc w:val="center"/>
        <w:rPr>
          <w:b/>
        </w:rPr>
      </w:pPr>
    </w:p>
    <w:p w14:paraId="449A94EB" w14:textId="77777777" w:rsidR="00C33A41" w:rsidRDefault="00C33A41">
      <w:pPr>
        <w:jc w:val="center"/>
        <w:rPr>
          <w:b/>
        </w:rPr>
      </w:pPr>
    </w:p>
    <w:p w14:paraId="794FE338" w14:textId="77777777" w:rsidR="00C33A41" w:rsidRDefault="00C33A41">
      <w:pPr>
        <w:jc w:val="center"/>
        <w:rPr>
          <w:b/>
        </w:rPr>
      </w:pPr>
    </w:p>
    <w:p w14:paraId="08CCD21C" w14:textId="77777777" w:rsidR="00C33A41" w:rsidRDefault="00C33A41">
      <w:pPr>
        <w:jc w:val="center"/>
        <w:rPr>
          <w:b/>
        </w:rPr>
      </w:pPr>
    </w:p>
    <w:p w14:paraId="34A52BE7" w14:textId="77777777" w:rsidR="00C33A41" w:rsidRDefault="00C33A41">
      <w:pPr>
        <w:jc w:val="center"/>
        <w:rPr>
          <w:b/>
        </w:rPr>
      </w:pPr>
    </w:p>
    <w:p w14:paraId="3F920B71" w14:textId="77777777" w:rsidR="00C33A41" w:rsidRDefault="00C33A41">
      <w:pPr>
        <w:jc w:val="center"/>
        <w:rPr>
          <w:b/>
        </w:rPr>
      </w:pPr>
    </w:p>
    <w:p w14:paraId="60CDD5AD" w14:textId="77777777" w:rsidR="00C33A41" w:rsidRDefault="00C33A41">
      <w:pPr>
        <w:jc w:val="left"/>
        <w:rPr>
          <w:b/>
        </w:rPr>
      </w:pPr>
    </w:p>
    <w:p w14:paraId="538B2FB4" w14:textId="77777777" w:rsidR="00C33A41" w:rsidRDefault="00C33A41">
      <w:pPr>
        <w:jc w:val="center"/>
        <w:rPr>
          <w:b/>
        </w:rPr>
      </w:pPr>
    </w:p>
    <w:p w14:paraId="1DB1EEC6" w14:textId="77777777" w:rsidR="00C33A41" w:rsidRDefault="007B3952">
      <w:pPr>
        <w:ind w:firstLine="0"/>
        <w:jc w:val="center"/>
        <w:rPr>
          <w:b/>
        </w:rPr>
      </w:pPr>
      <w:r>
        <w:rPr>
          <w:b/>
        </w:rPr>
        <w:lastRenderedPageBreak/>
        <w:t>LISTA DE SIGLAS</w:t>
      </w:r>
    </w:p>
    <w:p w14:paraId="4E21E85D" w14:textId="77777777" w:rsidR="00C33A41" w:rsidRDefault="007B3952">
      <w:pPr>
        <w:ind w:firstLine="0"/>
      </w:pPr>
      <w:r>
        <w:t>AT – Análise Temática</w:t>
      </w:r>
    </w:p>
    <w:p w14:paraId="05DC07BD" w14:textId="77777777" w:rsidR="00C33A41" w:rsidRDefault="007B3952">
      <w:pPr>
        <w:ind w:firstLine="0"/>
      </w:pPr>
      <w:r>
        <w:t xml:space="preserve">ANPEPP – Associação Nacional de Pesquisa e Pós-Graduação em Psicologia </w:t>
      </w:r>
    </w:p>
    <w:p w14:paraId="652189DE" w14:textId="77777777" w:rsidR="00C33A41" w:rsidRDefault="007B3952">
      <w:pPr>
        <w:ind w:firstLine="0"/>
      </w:pPr>
      <w:r>
        <w:t xml:space="preserve">CREAS – Centros de Referência Especializada em Assistência Social </w:t>
      </w:r>
    </w:p>
    <w:p w14:paraId="52B2E9EE" w14:textId="77777777" w:rsidR="00C33A41" w:rsidRDefault="007B3952">
      <w:pPr>
        <w:ind w:firstLine="0"/>
      </w:pPr>
      <w:r>
        <w:t>IDH – Índice de Desenvolvimento Humano</w:t>
      </w:r>
    </w:p>
    <w:p w14:paraId="34C538F6" w14:textId="77777777" w:rsidR="00C33A41" w:rsidRDefault="007B3952">
      <w:pPr>
        <w:ind w:firstLine="0"/>
      </w:pPr>
      <w:r>
        <w:t xml:space="preserve">OIT – Organização Internacional do Trabalho </w:t>
      </w:r>
    </w:p>
    <w:p w14:paraId="0D27059E" w14:textId="77777777" w:rsidR="00C33A41" w:rsidRDefault="007B3952">
      <w:pPr>
        <w:ind w:firstLine="0"/>
      </w:pPr>
      <w:r>
        <w:t xml:space="preserve">OECD – Organização para a Economia e Cooperação e Desenvolvimento </w:t>
      </w:r>
    </w:p>
    <w:p w14:paraId="2D0F467B" w14:textId="77777777" w:rsidR="00C33A41" w:rsidRDefault="007B3952">
      <w:pPr>
        <w:ind w:firstLine="0"/>
      </w:pPr>
      <w:r>
        <w:t>OMS – Organização Mundial da Saúde</w:t>
      </w:r>
    </w:p>
    <w:p w14:paraId="3E0FAC7C" w14:textId="77777777" w:rsidR="00C33A41" w:rsidRDefault="007B3952">
      <w:pPr>
        <w:ind w:firstLine="0"/>
      </w:pPr>
      <w:r>
        <w:t xml:space="preserve">ONU – Organização das Nações Unidas </w:t>
      </w:r>
    </w:p>
    <w:p w14:paraId="7A58D5AE" w14:textId="77777777" w:rsidR="00C33A41" w:rsidRDefault="007B3952">
      <w:pPr>
        <w:ind w:firstLine="0"/>
      </w:pPr>
      <w:r>
        <w:t xml:space="preserve">OPAS – Organização Pan-Americana de Saúde </w:t>
      </w:r>
    </w:p>
    <w:p w14:paraId="3D0A5CBD" w14:textId="77777777" w:rsidR="00C33A41" w:rsidRDefault="007B3952">
      <w:pPr>
        <w:ind w:firstLine="0"/>
      </w:pPr>
      <w:r>
        <w:t xml:space="preserve">PPCT – Processo-Pessoa-Contexto-Tempo </w:t>
      </w:r>
    </w:p>
    <w:p w14:paraId="5194811F" w14:textId="77777777" w:rsidR="00C33A41" w:rsidRDefault="007B3952">
      <w:pPr>
        <w:ind w:firstLine="0"/>
      </w:pPr>
      <w:r>
        <w:t>SPSS – Statistical Package for the Social Sciences</w:t>
      </w:r>
    </w:p>
    <w:p w14:paraId="492A6085" w14:textId="77777777" w:rsidR="00C33A41" w:rsidRDefault="007B3952">
      <w:pPr>
        <w:ind w:firstLine="0"/>
      </w:pPr>
      <w:r>
        <w:t xml:space="preserve">SUAS – Sistema Único de Assistência Social </w:t>
      </w:r>
    </w:p>
    <w:p w14:paraId="79C5BB7C" w14:textId="77777777" w:rsidR="00C33A41" w:rsidRDefault="007B3952">
      <w:pPr>
        <w:ind w:firstLine="0"/>
      </w:pPr>
      <w:r>
        <w:t xml:space="preserve">SUS – Sistema Único de Saúde </w:t>
      </w:r>
    </w:p>
    <w:p w14:paraId="31B676D7" w14:textId="77777777" w:rsidR="00C33A41" w:rsidRDefault="007B3952">
      <w:pPr>
        <w:ind w:firstLine="0"/>
      </w:pPr>
      <w:r>
        <w:t>TALE – Termo de Assentimento Livre e Esclarecido</w:t>
      </w:r>
    </w:p>
    <w:p w14:paraId="3FF9D412" w14:textId="77777777" w:rsidR="00C33A41" w:rsidRDefault="007B3952">
      <w:pPr>
        <w:ind w:firstLine="0"/>
      </w:pPr>
      <w:r>
        <w:t>TCLE – Termo de Consentimento Livre e Esclarecido</w:t>
      </w:r>
    </w:p>
    <w:p w14:paraId="6E4998B1" w14:textId="77777777" w:rsidR="00C33A41" w:rsidRDefault="007B3952">
      <w:pPr>
        <w:ind w:firstLine="0"/>
      </w:pPr>
      <w:r>
        <w:t>UNESCO – Organização das Nações Unidas para a Educação, a Ciência e a Cultura</w:t>
      </w:r>
    </w:p>
    <w:p w14:paraId="1873BC8F" w14:textId="77777777" w:rsidR="00C33A41" w:rsidRDefault="007B3952">
      <w:pPr>
        <w:ind w:firstLine="0"/>
      </w:pPr>
      <w:r>
        <w:rPr>
          <w:highlight w:val="white"/>
        </w:rPr>
        <w:t>UNICEF – Fundo das Nações Unidas para a Infância</w:t>
      </w:r>
    </w:p>
    <w:p w14:paraId="2B156FF9" w14:textId="77777777" w:rsidR="00C33A41" w:rsidRDefault="00C33A41">
      <w:pPr>
        <w:rPr>
          <w:b/>
          <w:highlight w:val="yellow"/>
        </w:rPr>
      </w:pPr>
    </w:p>
    <w:p w14:paraId="70757BDF" w14:textId="77777777" w:rsidR="00C33A41" w:rsidRDefault="00C33A41">
      <w:pPr>
        <w:jc w:val="center"/>
        <w:rPr>
          <w:b/>
        </w:rPr>
      </w:pPr>
    </w:p>
    <w:p w14:paraId="661E00BD" w14:textId="77777777" w:rsidR="00C33A41" w:rsidRDefault="00C33A41">
      <w:pPr>
        <w:jc w:val="center"/>
        <w:rPr>
          <w:b/>
        </w:rPr>
      </w:pPr>
    </w:p>
    <w:p w14:paraId="280F2DB3" w14:textId="77777777" w:rsidR="00C33A41" w:rsidRDefault="007B3952">
      <w:pPr>
        <w:tabs>
          <w:tab w:val="left" w:pos="5790"/>
        </w:tabs>
        <w:jc w:val="left"/>
        <w:rPr>
          <w:b/>
        </w:rPr>
      </w:pPr>
      <w:r>
        <w:rPr>
          <w:b/>
        </w:rPr>
        <w:tab/>
      </w:r>
    </w:p>
    <w:p w14:paraId="6958FA1A" w14:textId="77777777" w:rsidR="00C33A41" w:rsidRDefault="00C33A41">
      <w:pPr>
        <w:jc w:val="center"/>
        <w:rPr>
          <w:b/>
        </w:rPr>
      </w:pPr>
    </w:p>
    <w:p w14:paraId="157F9BA1" w14:textId="77777777" w:rsidR="00C33A41" w:rsidRDefault="00C33A41">
      <w:pPr>
        <w:pBdr>
          <w:top w:val="nil"/>
          <w:left w:val="nil"/>
          <w:bottom w:val="nil"/>
          <w:right w:val="nil"/>
          <w:between w:val="nil"/>
        </w:pBdr>
        <w:tabs>
          <w:tab w:val="right" w:pos="8494"/>
        </w:tabs>
        <w:spacing w:after="100"/>
        <w:ind w:firstLine="0"/>
        <w:rPr>
          <w:rFonts w:ascii="Calibri" w:hAnsi="Calibri"/>
          <w:color w:val="000000"/>
          <w:sz w:val="22"/>
          <w:szCs w:val="22"/>
        </w:rPr>
      </w:pPr>
    </w:p>
    <w:p w14:paraId="5B821D58" w14:textId="77777777" w:rsidR="00C33A41" w:rsidRDefault="007B3952">
      <w:pPr>
        <w:keepNext/>
        <w:keepLines/>
        <w:pBdr>
          <w:top w:val="nil"/>
          <w:left w:val="nil"/>
          <w:bottom w:val="nil"/>
          <w:right w:val="nil"/>
          <w:between w:val="nil"/>
        </w:pBdr>
        <w:ind w:firstLine="0"/>
        <w:jc w:val="center"/>
        <w:rPr>
          <w:rFonts w:eastAsia="Times New Roman" w:cs="Times New Roman"/>
          <w:b/>
          <w:color w:val="000000"/>
          <w:sz w:val="28"/>
          <w:szCs w:val="28"/>
          <w:u w:val="single"/>
        </w:rPr>
      </w:pPr>
      <w:r>
        <w:rPr>
          <w:rFonts w:eastAsia="Times New Roman" w:cs="Times New Roman"/>
          <w:b/>
          <w:color w:val="000000"/>
          <w:sz w:val="28"/>
          <w:szCs w:val="28"/>
          <w:u w:val="single"/>
        </w:rPr>
        <w:lastRenderedPageBreak/>
        <w:t>Sumário</w:t>
      </w:r>
    </w:p>
    <w:sdt>
      <w:sdtPr>
        <w:id w:val="1743531786"/>
        <w:docPartObj>
          <w:docPartGallery w:val="Table of Contents"/>
          <w:docPartUnique/>
        </w:docPartObj>
      </w:sdtPr>
      <w:sdtEndPr/>
      <w:sdtContent>
        <w:p w14:paraId="29AC991A" w14:textId="77777777" w:rsidR="00C33A41" w:rsidRDefault="007B3952">
          <w:pPr>
            <w:pBdr>
              <w:top w:val="nil"/>
              <w:left w:val="nil"/>
              <w:bottom w:val="nil"/>
              <w:right w:val="nil"/>
              <w:between w:val="nil"/>
            </w:pBdr>
            <w:tabs>
              <w:tab w:val="right" w:pos="8494"/>
            </w:tabs>
            <w:spacing w:line="360" w:lineRule="auto"/>
            <w:ind w:firstLine="0"/>
            <w:rPr>
              <w:rFonts w:eastAsia="Times New Roman" w:cs="Times New Roman"/>
              <w:color w:val="000000"/>
              <w:sz w:val="22"/>
              <w:szCs w:val="22"/>
            </w:rPr>
          </w:pPr>
          <w:r>
            <w:fldChar w:fldCharType="begin"/>
          </w:r>
          <w:r>
            <w:instrText xml:space="preserve"> TOC \h \u \z \t "Heading 1,1,Heading 2,2,Heading 3,3,"</w:instrText>
          </w:r>
          <w:r>
            <w:fldChar w:fldCharType="separate"/>
          </w:r>
          <w:hyperlink w:anchor="_heading=h.1t3h5sf">
            <w:r>
              <w:rPr>
                <w:rFonts w:eastAsia="Times New Roman" w:cs="Times New Roman"/>
                <w:b/>
                <w:color w:val="000000"/>
              </w:rPr>
              <w:t>APRESENTAÇÃO</w:t>
            </w:r>
            <w:r>
              <w:rPr>
                <w:rFonts w:eastAsia="Times New Roman" w:cs="Times New Roman"/>
                <w:b/>
                <w:color w:val="000000"/>
              </w:rPr>
              <w:tab/>
              <w:t>13</w:t>
            </w:r>
          </w:hyperlink>
        </w:p>
        <w:p w14:paraId="5D7A5602" w14:textId="77777777" w:rsidR="00C33A41" w:rsidRDefault="00E618E3">
          <w:pPr>
            <w:pBdr>
              <w:top w:val="nil"/>
              <w:left w:val="nil"/>
              <w:bottom w:val="nil"/>
              <w:right w:val="nil"/>
              <w:between w:val="nil"/>
            </w:pBdr>
            <w:tabs>
              <w:tab w:val="right" w:pos="8494"/>
            </w:tabs>
            <w:spacing w:after="100" w:line="360" w:lineRule="auto"/>
            <w:ind w:firstLine="0"/>
            <w:rPr>
              <w:rFonts w:eastAsia="Times New Roman" w:cs="Times New Roman"/>
              <w:color w:val="000000"/>
              <w:sz w:val="22"/>
              <w:szCs w:val="22"/>
            </w:rPr>
          </w:pPr>
          <w:hyperlink w:anchor="_heading=h.2s8eyo1">
            <w:r w:rsidR="007B3952">
              <w:rPr>
                <w:rFonts w:eastAsia="Times New Roman" w:cs="Times New Roman"/>
                <w:b/>
                <w:color w:val="000000"/>
              </w:rPr>
              <w:t>CAPÍTULO 1 - A PANDEMIA DO COVID-19 NO DESENVOLVIMENTO DE ADOLESCENTES EM SITUAÇÃO DE EXCLUSÃO E VULNERABILIDADES SOCIAIS: CONTRIBUIÇÕES TEÓRICAS</w:t>
            </w:r>
            <w:r w:rsidR="007B3952">
              <w:rPr>
                <w:rFonts w:eastAsia="Times New Roman" w:cs="Times New Roman"/>
                <w:b/>
                <w:color w:val="000000"/>
              </w:rPr>
              <w:tab/>
              <w:t>18</w:t>
            </w:r>
          </w:hyperlink>
        </w:p>
        <w:p w14:paraId="39426338"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17dp8vu">
            <w:r w:rsidR="007B3952">
              <w:rPr>
                <w:rFonts w:eastAsia="Times New Roman" w:cs="Times New Roman"/>
                <w:color w:val="000000"/>
              </w:rPr>
              <w:t>1.1 Caracterização do contexto social desencadeado pela pandemia</w:t>
            </w:r>
            <w:r w:rsidR="007B3952">
              <w:rPr>
                <w:rFonts w:eastAsia="Times New Roman" w:cs="Times New Roman"/>
                <w:color w:val="000000"/>
              </w:rPr>
              <w:tab/>
              <w:t>18</w:t>
            </w:r>
          </w:hyperlink>
        </w:p>
        <w:p w14:paraId="42E522AD"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3rdcrjn">
            <w:r w:rsidR="007B3952">
              <w:rPr>
                <w:rFonts w:eastAsia="Times New Roman" w:cs="Times New Roman"/>
                <w:color w:val="000000"/>
              </w:rPr>
              <w:t>1.2 Adolescentes em situação de vulnerabilidade social frente aos desafios impostos pela pandemia</w:t>
            </w:r>
            <w:r w:rsidR="007B3952">
              <w:rPr>
                <w:rFonts w:eastAsia="Times New Roman" w:cs="Times New Roman"/>
                <w:color w:val="000000"/>
              </w:rPr>
              <w:tab/>
              <w:t>21</w:t>
            </w:r>
          </w:hyperlink>
        </w:p>
        <w:p w14:paraId="6B701DB0"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lnxbz9">
            <w:r w:rsidR="007B3952">
              <w:rPr>
                <w:rFonts w:eastAsia="Times New Roman" w:cs="Times New Roman"/>
                <w:color w:val="000000"/>
              </w:rPr>
              <w:t>1.3 Contribuições da Teoria Bioecológica do Desenvolvimento Humano (TBDH) para Compreensão do Contexto Pandêmico</w:t>
            </w:r>
            <w:r w:rsidR="007B3952">
              <w:rPr>
                <w:rFonts w:eastAsia="Times New Roman" w:cs="Times New Roman"/>
                <w:color w:val="000000"/>
              </w:rPr>
              <w:tab/>
              <w:t>31</w:t>
            </w:r>
          </w:hyperlink>
        </w:p>
        <w:p w14:paraId="472FD6C8" w14:textId="77777777" w:rsidR="00C33A41" w:rsidRDefault="00E618E3">
          <w:pPr>
            <w:pBdr>
              <w:top w:val="nil"/>
              <w:left w:val="nil"/>
              <w:bottom w:val="nil"/>
              <w:right w:val="nil"/>
              <w:between w:val="nil"/>
            </w:pBdr>
            <w:tabs>
              <w:tab w:val="right" w:pos="8494"/>
            </w:tabs>
            <w:spacing w:after="100" w:line="360" w:lineRule="auto"/>
            <w:ind w:left="220" w:firstLine="489"/>
            <w:rPr>
              <w:rFonts w:eastAsia="Times New Roman" w:cs="Times New Roman"/>
              <w:color w:val="000000"/>
              <w:sz w:val="22"/>
              <w:szCs w:val="22"/>
            </w:rPr>
          </w:pPr>
          <w:hyperlink w:anchor="_heading=h.1ksv4uv">
            <w:r w:rsidR="007B3952">
              <w:rPr>
                <w:rFonts w:eastAsia="Times New Roman" w:cs="Times New Roman"/>
                <w:color w:val="000000"/>
              </w:rPr>
              <w:t>1.4 Estudos Atuais sobre Adolescentes em Situação de Vulnerabilidade e em Privação de Liberdade Durante a Pandemia do Covid-19</w:t>
            </w:r>
            <w:r w:rsidR="007B3952">
              <w:rPr>
                <w:rFonts w:eastAsia="Times New Roman" w:cs="Times New Roman"/>
                <w:color w:val="000000"/>
              </w:rPr>
              <w:tab/>
              <w:t>35</w:t>
            </w:r>
          </w:hyperlink>
        </w:p>
        <w:p w14:paraId="114F9B70" w14:textId="77777777" w:rsidR="00C33A41" w:rsidRDefault="00E618E3">
          <w:pPr>
            <w:pBdr>
              <w:top w:val="nil"/>
              <w:left w:val="nil"/>
              <w:bottom w:val="nil"/>
              <w:right w:val="nil"/>
              <w:between w:val="nil"/>
            </w:pBdr>
            <w:tabs>
              <w:tab w:val="right" w:pos="8494"/>
            </w:tabs>
            <w:spacing w:after="100" w:line="360" w:lineRule="auto"/>
            <w:ind w:firstLine="0"/>
            <w:rPr>
              <w:rFonts w:eastAsia="Times New Roman" w:cs="Times New Roman"/>
              <w:color w:val="000000"/>
              <w:sz w:val="22"/>
              <w:szCs w:val="22"/>
            </w:rPr>
          </w:pPr>
          <w:hyperlink w:anchor="_heading=h.2jxsxqh">
            <w:r w:rsidR="007B3952">
              <w:rPr>
                <w:rFonts w:eastAsia="Times New Roman" w:cs="Times New Roman"/>
                <w:b/>
                <w:color w:val="000000"/>
              </w:rPr>
              <w:t>CAPÍTULO 2 - DELINEAMENTO METODOLÓGICO</w:t>
            </w:r>
            <w:r w:rsidR="007B3952">
              <w:rPr>
                <w:rFonts w:eastAsia="Times New Roman" w:cs="Times New Roman"/>
                <w:b/>
                <w:color w:val="000000"/>
              </w:rPr>
              <w:tab/>
              <w:t>40</w:t>
            </w:r>
          </w:hyperlink>
        </w:p>
        <w:p w14:paraId="360AD6EE" w14:textId="1BAE69F5" w:rsidR="00C33A41" w:rsidRDefault="00E618E3">
          <w:pPr>
            <w:pBdr>
              <w:top w:val="nil"/>
              <w:left w:val="nil"/>
              <w:bottom w:val="nil"/>
              <w:right w:val="nil"/>
              <w:between w:val="nil"/>
            </w:pBdr>
            <w:tabs>
              <w:tab w:val="left" w:pos="1760"/>
              <w:tab w:val="right" w:pos="8494"/>
            </w:tabs>
            <w:spacing w:line="360" w:lineRule="auto"/>
            <w:ind w:left="220" w:firstLine="489"/>
            <w:rPr>
              <w:rFonts w:eastAsia="Times New Roman" w:cs="Times New Roman"/>
              <w:color w:val="000000"/>
              <w:sz w:val="22"/>
              <w:szCs w:val="22"/>
            </w:rPr>
          </w:pPr>
          <w:hyperlink w:anchor="_heading=h.3j2qqm3">
            <w:r w:rsidR="007B3952">
              <w:rPr>
                <w:rFonts w:eastAsia="Times New Roman" w:cs="Times New Roman"/>
                <w:color w:val="000000"/>
              </w:rPr>
              <w:t>2.1.1</w:t>
            </w:r>
          </w:hyperlink>
          <w:hyperlink w:anchor="_heading=h.3j2qqm3">
            <w:r w:rsidR="007B3952">
              <w:rPr>
                <w:rFonts w:eastAsia="Times New Roman" w:cs="Times New Roman"/>
                <w:color w:val="000000"/>
                <w:sz w:val="22"/>
                <w:szCs w:val="22"/>
              </w:rPr>
              <w:tab/>
            </w:r>
          </w:hyperlink>
          <w:r w:rsidR="007B3952">
            <w:fldChar w:fldCharType="begin"/>
          </w:r>
          <w:r w:rsidR="007B3952">
            <w:instrText xml:space="preserve"> PAGEREF _heading=h.3j2qqm3 \h </w:instrText>
          </w:r>
          <w:r w:rsidR="007B3952">
            <w:fldChar w:fldCharType="separate"/>
          </w:r>
          <w:r w:rsidR="002B4ACE">
            <w:rPr>
              <w:noProof/>
            </w:rPr>
            <w:t>40</w:t>
          </w:r>
          <w:r w:rsidR="007B3952">
            <w:fldChar w:fldCharType="end"/>
          </w:r>
        </w:p>
        <w:p w14:paraId="58E427A0"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2xcytpi">
            <w:r w:rsidR="007B3952">
              <w:rPr>
                <w:rFonts w:eastAsia="Times New Roman" w:cs="Times New Roman"/>
                <w:color w:val="000000"/>
              </w:rPr>
              <w:t>2.1.2 Desenho da pesquisa</w:t>
            </w:r>
            <w:r w:rsidR="007B3952">
              <w:rPr>
                <w:rFonts w:eastAsia="Times New Roman" w:cs="Times New Roman"/>
                <w:color w:val="000000"/>
              </w:rPr>
              <w:tab/>
              <w:t>41</w:t>
            </w:r>
          </w:hyperlink>
        </w:p>
        <w:p w14:paraId="43D103AF"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1ci93xb">
            <w:r w:rsidR="007B3952">
              <w:rPr>
                <w:rFonts w:eastAsia="Times New Roman" w:cs="Times New Roman"/>
                <w:color w:val="000000"/>
              </w:rPr>
              <w:t>2.1.3 Participantes e instituições</w:t>
            </w:r>
            <w:r w:rsidR="007B3952">
              <w:rPr>
                <w:rFonts w:eastAsia="Times New Roman" w:cs="Times New Roman"/>
                <w:color w:val="000000"/>
              </w:rPr>
              <w:tab/>
              <w:t>42</w:t>
            </w:r>
          </w:hyperlink>
        </w:p>
        <w:p w14:paraId="44873341"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2bn6wsx">
            <w:r w:rsidR="007B3952">
              <w:rPr>
                <w:rFonts w:eastAsia="Times New Roman" w:cs="Times New Roman"/>
                <w:color w:val="000000"/>
              </w:rPr>
              <w:t>2.1.4 Instrumentos</w:t>
            </w:r>
            <w:r w:rsidR="007B3952">
              <w:rPr>
                <w:rFonts w:eastAsia="Times New Roman" w:cs="Times New Roman"/>
                <w:color w:val="000000"/>
              </w:rPr>
              <w:tab/>
              <w:t>43</w:t>
            </w:r>
          </w:hyperlink>
        </w:p>
        <w:p w14:paraId="11C626EC"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qsh70q">
            <w:r w:rsidR="007B3952">
              <w:rPr>
                <w:rFonts w:eastAsia="Times New Roman" w:cs="Times New Roman"/>
                <w:color w:val="000000"/>
              </w:rPr>
              <w:t>2.1.5 Procedimentos de coleta de dados</w:t>
            </w:r>
            <w:r w:rsidR="007B3952">
              <w:rPr>
                <w:rFonts w:eastAsia="Times New Roman" w:cs="Times New Roman"/>
                <w:color w:val="000000"/>
              </w:rPr>
              <w:tab/>
              <w:t>45</w:t>
            </w:r>
          </w:hyperlink>
        </w:p>
        <w:p w14:paraId="79CFEB32"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3as4poj">
            <w:r w:rsidR="007B3952">
              <w:rPr>
                <w:rFonts w:eastAsia="Times New Roman" w:cs="Times New Roman"/>
                <w:color w:val="000000"/>
              </w:rPr>
              <w:t>2.1.6 Procedimentos Éticos</w:t>
            </w:r>
            <w:r w:rsidR="007B3952">
              <w:rPr>
                <w:rFonts w:eastAsia="Times New Roman" w:cs="Times New Roman"/>
                <w:color w:val="000000"/>
              </w:rPr>
              <w:tab/>
              <w:t>46</w:t>
            </w:r>
          </w:hyperlink>
        </w:p>
        <w:p w14:paraId="387ED799" w14:textId="77777777" w:rsidR="00C33A41" w:rsidRDefault="00E618E3">
          <w:pPr>
            <w:pBdr>
              <w:top w:val="nil"/>
              <w:left w:val="nil"/>
              <w:bottom w:val="nil"/>
              <w:right w:val="nil"/>
              <w:between w:val="nil"/>
            </w:pBdr>
            <w:tabs>
              <w:tab w:val="right" w:pos="8494"/>
            </w:tabs>
            <w:spacing w:after="100" w:line="360" w:lineRule="auto"/>
            <w:ind w:left="220" w:firstLine="489"/>
            <w:rPr>
              <w:rFonts w:eastAsia="Times New Roman" w:cs="Times New Roman"/>
              <w:color w:val="000000"/>
              <w:sz w:val="22"/>
              <w:szCs w:val="22"/>
            </w:rPr>
          </w:pPr>
          <w:hyperlink w:anchor="_heading=h.2p2csry">
            <w:r w:rsidR="007B3952">
              <w:rPr>
                <w:rFonts w:eastAsia="Times New Roman" w:cs="Times New Roman"/>
                <w:color w:val="000000"/>
              </w:rPr>
              <w:t>2.1.7 Análise de dados</w:t>
            </w:r>
            <w:r w:rsidR="007B3952">
              <w:rPr>
                <w:rFonts w:eastAsia="Times New Roman" w:cs="Times New Roman"/>
                <w:color w:val="000000"/>
              </w:rPr>
              <w:tab/>
              <w:t>48</w:t>
            </w:r>
          </w:hyperlink>
        </w:p>
        <w:p w14:paraId="7521DAC7" w14:textId="77777777" w:rsidR="00C33A41" w:rsidRDefault="00E618E3">
          <w:pPr>
            <w:pBdr>
              <w:top w:val="nil"/>
              <w:left w:val="nil"/>
              <w:bottom w:val="nil"/>
              <w:right w:val="nil"/>
              <w:between w:val="nil"/>
            </w:pBdr>
            <w:tabs>
              <w:tab w:val="right" w:pos="8494"/>
            </w:tabs>
            <w:spacing w:after="100" w:line="360" w:lineRule="auto"/>
            <w:ind w:firstLine="0"/>
            <w:rPr>
              <w:rFonts w:eastAsia="Times New Roman" w:cs="Times New Roman"/>
              <w:color w:val="000000"/>
              <w:sz w:val="22"/>
              <w:szCs w:val="22"/>
            </w:rPr>
          </w:pPr>
          <w:hyperlink w:anchor="_heading=h.147n2zr">
            <w:r w:rsidR="007B3952">
              <w:rPr>
                <w:rFonts w:eastAsia="Times New Roman" w:cs="Times New Roman"/>
                <w:b/>
                <w:color w:val="000000"/>
              </w:rPr>
              <w:t>CAPÍTULO 3: RUPTURAS SOCIAIS E RELACIONAIS IDENTIFICADAS DURANTE A PANDEMIA COM ADOLESCENTES EM CUMPRIMENTO DE MEDIDAS SOCIOEDUCATIVAS DE INTERNAÇÃO</w:t>
            </w:r>
            <w:r w:rsidR="007B3952">
              <w:rPr>
                <w:rFonts w:eastAsia="Times New Roman" w:cs="Times New Roman"/>
                <w:b/>
                <w:color w:val="000000"/>
              </w:rPr>
              <w:tab/>
              <w:t>51</w:t>
            </w:r>
          </w:hyperlink>
        </w:p>
        <w:p w14:paraId="2ED2E819"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2grqrue">
            <w:r w:rsidR="007B3952">
              <w:rPr>
                <w:rFonts w:eastAsia="Times New Roman" w:cs="Times New Roman"/>
                <w:color w:val="000000"/>
              </w:rPr>
              <w:t>2. Dialogando com os dados</w:t>
            </w:r>
            <w:r w:rsidR="007B3952">
              <w:rPr>
                <w:rFonts w:eastAsia="Times New Roman" w:cs="Times New Roman"/>
                <w:color w:val="000000"/>
              </w:rPr>
              <w:tab/>
              <w:t>57</w:t>
            </w:r>
          </w:hyperlink>
        </w:p>
        <w:p w14:paraId="6C1EDED2"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vx1227">
            <w:r w:rsidR="007B3952">
              <w:rPr>
                <w:rFonts w:eastAsia="Times New Roman" w:cs="Times New Roman"/>
                <w:color w:val="000000"/>
              </w:rPr>
              <w:t>2.1 Temática 1: A configuração dos vínculos familiares durante a pandemia do Covid-19</w:t>
            </w:r>
            <w:r w:rsidR="007B3952">
              <w:rPr>
                <w:rFonts w:eastAsia="Times New Roman" w:cs="Times New Roman"/>
                <w:color w:val="000000"/>
              </w:rPr>
              <w:tab/>
              <w:t>58</w:t>
            </w:r>
          </w:hyperlink>
        </w:p>
        <w:p w14:paraId="77571306" w14:textId="77777777" w:rsidR="00C33A41" w:rsidRDefault="00E618E3">
          <w:pPr>
            <w:pBdr>
              <w:top w:val="nil"/>
              <w:left w:val="nil"/>
              <w:bottom w:val="nil"/>
              <w:right w:val="nil"/>
              <w:between w:val="nil"/>
            </w:pBdr>
            <w:tabs>
              <w:tab w:val="right" w:pos="8494"/>
            </w:tabs>
            <w:spacing w:line="360" w:lineRule="auto"/>
            <w:ind w:left="220" w:firstLine="489"/>
            <w:rPr>
              <w:rFonts w:eastAsia="Times New Roman" w:cs="Times New Roman"/>
              <w:color w:val="000000"/>
              <w:sz w:val="22"/>
              <w:szCs w:val="22"/>
            </w:rPr>
          </w:pPr>
          <w:hyperlink w:anchor="_heading=h.2zbgiuw">
            <w:r w:rsidR="007B3952">
              <w:rPr>
                <w:rFonts w:eastAsia="Times New Roman" w:cs="Times New Roman"/>
                <w:color w:val="000000"/>
              </w:rPr>
              <w:t>2.2     Temática 2: A presença de vínculos institucionais: o papel dos profissionais da internação no cotidiano dos adolescentes durante a pandemia</w:t>
            </w:r>
            <w:r w:rsidR="007B3952">
              <w:rPr>
                <w:rFonts w:eastAsia="Times New Roman" w:cs="Times New Roman"/>
                <w:color w:val="000000"/>
              </w:rPr>
              <w:tab/>
              <w:t>69</w:t>
            </w:r>
          </w:hyperlink>
        </w:p>
        <w:p w14:paraId="6281CD3B" w14:textId="77777777" w:rsidR="00C33A41" w:rsidRDefault="00E618E3">
          <w:pPr>
            <w:pBdr>
              <w:top w:val="nil"/>
              <w:left w:val="nil"/>
              <w:bottom w:val="nil"/>
              <w:right w:val="nil"/>
              <w:between w:val="nil"/>
            </w:pBdr>
            <w:tabs>
              <w:tab w:val="right" w:pos="8494"/>
            </w:tabs>
            <w:spacing w:after="100" w:line="360" w:lineRule="auto"/>
            <w:ind w:left="220" w:firstLine="489"/>
            <w:rPr>
              <w:rFonts w:eastAsia="Times New Roman" w:cs="Times New Roman"/>
              <w:color w:val="000000"/>
              <w:sz w:val="22"/>
              <w:szCs w:val="22"/>
            </w:rPr>
          </w:pPr>
          <w:hyperlink w:anchor="_heading=h.2dlolyb">
            <w:r w:rsidR="007B3952">
              <w:rPr>
                <w:rFonts w:eastAsia="Times New Roman" w:cs="Times New Roman"/>
                <w:color w:val="000000"/>
              </w:rPr>
              <w:t>2.3      Temática 3: A (des)construção do processo educacional de adolescentes privados de liberdade no contexto pandêmico</w:t>
            </w:r>
            <w:r w:rsidR="007B3952">
              <w:rPr>
                <w:rFonts w:eastAsia="Times New Roman" w:cs="Times New Roman"/>
                <w:color w:val="000000"/>
              </w:rPr>
              <w:tab/>
              <w:t>74</w:t>
            </w:r>
          </w:hyperlink>
        </w:p>
        <w:p w14:paraId="28AB3A9C" w14:textId="77777777" w:rsidR="00C33A41" w:rsidRDefault="00E618E3">
          <w:pPr>
            <w:pBdr>
              <w:top w:val="nil"/>
              <w:left w:val="nil"/>
              <w:bottom w:val="nil"/>
              <w:right w:val="nil"/>
              <w:between w:val="nil"/>
            </w:pBdr>
            <w:tabs>
              <w:tab w:val="right" w:pos="8494"/>
            </w:tabs>
            <w:spacing w:after="100" w:line="360" w:lineRule="auto"/>
            <w:ind w:firstLine="0"/>
            <w:rPr>
              <w:rFonts w:eastAsia="Times New Roman" w:cs="Times New Roman"/>
              <w:color w:val="000000"/>
              <w:sz w:val="22"/>
              <w:szCs w:val="22"/>
            </w:rPr>
          </w:pPr>
          <w:hyperlink w:anchor="_heading=h.2r0uhxc">
            <w:r w:rsidR="007B3952">
              <w:rPr>
                <w:rFonts w:eastAsia="Times New Roman" w:cs="Times New Roman"/>
                <w:b/>
                <w:color w:val="000000"/>
              </w:rPr>
              <w:t>CAPÍTULO 4: PANDEMIA E SEUS EFEITOS NOS PROJETOS DE VIDA DE ADOLESCENTES EM CUMPRIMENTO DE MEDIDA SOCIOEDUCATIVA DE INTERNAÇÃO</w:t>
            </w:r>
            <w:r w:rsidR="007B3952">
              <w:rPr>
                <w:rFonts w:eastAsia="Times New Roman" w:cs="Times New Roman"/>
                <w:b/>
                <w:color w:val="000000"/>
              </w:rPr>
              <w:tab/>
              <w:t>86</w:t>
            </w:r>
          </w:hyperlink>
        </w:p>
        <w:p w14:paraId="4BF434E8" w14:textId="77777777" w:rsidR="00C33A41" w:rsidRDefault="00E618E3">
          <w:pPr>
            <w:pBdr>
              <w:top w:val="nil"/>
              <w:left w:val="nil"/>
              <w:bottom w:val="nil"/>
              <w:right w:val="nil"/>
              <w:between w:val="nil"/>
            </w:pBdr>
            <w:tabs>
              <w:tab w:val="right" w:pos="8494"/>
            </w:tabs>
            <w:spacing w:after="100" w:line="360" w:lineRule="auto"/>
            <w:ind w:left="220" w:firstLine="489"/>
            <w:rPr>
              <w:rFonts w:eastAsia="Times New Roman" w:cs="Times New Roman"/>
              <w:color w:val="000000"/>
              <w:sz w:val="22"/>
              <w:szCs w:val="22"/>
            </w:rPr>
          </w:pPr>
          <w:hyperlink w:anchor="_heading=h.1664s55">
            <w:r w:rsidR="007B3952">
              <w:rPr>
                <w:rFonts w:eastAsia="Times New Roman" w:cs="Times New Roman"/>
                <w:color w:val="000000"/>
              </w:rPr>
              <w:t>2. Dialogando com os dados</w:t>
            </w:r>
            <w:r w:rsidR="007B3952">
              <w:rPr>
                <w:rFonts w:eastAsia="Times New Roman" w:cs="Times New Roman"/>
                <w:color w:val="000000"/>
              </w:rPr>
              <w:tab/>
              <w:t>92</w:t>
            </w:r>
          </w:hyperlink>
        </w:p>
        <w:p w14:paraId="729E97FF" w14:textId="77777777" w:rsidR="00C33A41" w:rsidRDefault="00E618E3">
          <w:pPr>
            <w:pBdr>
              <w:top w:val="nil"/>
              <w:left w:val="nil"/>
              <w:bottom w:val="nil"/>
              <w:right w:val="nil"/>
              <w:between w:val="nil"/>
            </w:pBdr>
            <w:tabs>
              <w:tab w:val="right" w:pos="8494"/>
            </w:tabs>
            <w:spacing w:line="360" w:lineRule="auto"/>
            <w:ind w:left="440" w:firstLine="269"/>
            <w:rPr>
              <w:rFonts w:eastAsia="Times New Roman" w:cs="Times New Roman"/>
              <w:color w:val="000000"/>
              <w:sz w:val="22"/>
              <w:szCs w:val="22"/>
            </w:rPr>
          </w:pPr>
          <w:hyperlink w:anchor="_heading=h.3q5sasy">
            <w:r w:rsidR="007B3952">
              <w:rPr>
                <w:rFonts w:eastAsia="Times New Roman" w:cs="Times New Roman"/>
                <w:color w:val="000000"/>
              </w:rPr>
              <w:t>2.1 Caracterização geral da percepção de projeto de vida de adolescentes privados de liberdade</w:t>
            </w:r>
            <w:r w:rsidR="007B3952">
              <w:rPr>
                <w:rFonts w:eastAsia="Times New Roman" w:cs="Times New Roman"/>
                <w:color w:val="000000"/>
              </w:rPr>
              <w:tab/>
              <w:t>92</w:t>
            </w:r>
          </w:hyperlink>
        </w:p>
        <w:p w14:paraId="493A0B2C" w14:textId="77777777" w:rsidR="00C33A41" w:rsidRDefault="00E618E3">
          <w:pPr>
            <w:pBdr>
              <w:top w:val="nil"/>
              <w:left w:val="nil"/>
              <w:bottom w:val="nil"/>
              <w:right w:val="nil"/>
              <w:between w:val="nil"/>
            </w:pBdr>
            <w:tabs>
              <w:tab w:val="right" w:pos="8494"/>
            </w:tabs>
            <w:spacing w:line="360" w:lineRule="auto"/>
            <w:ind w:left="440" w:firstLine="269"/>
            <w:rPr>
              <w:rFonts w:eastAsia="Times New Roman" w:cs="Times New Roman"/>
              <w:color w:val="000000"/>
              <w:sz w:val="22"/>
              <w:szCs w:val="22"/>
            </w:rPr>
          </w:pPr>
          <w:hyperlink w:anchor="_heading=h.34g0dwd">
            <w:r w:rsidR="007B3952">
              <w:rPr>
                <w:rFonts w:eastAsia="Times New Roman" w:cs="Times New Roman"/>
                <w:color w:val="000000"/>
              </w:rPr>
              <w:t>2.2 “Ainda existem sonhos”: Manutenção dos projetos de vida durante a pandemia</w:t>
            </w:r>
            <w:r w:rsidR="007B3952">
              <w:rPr>
                <w:rFonts w:eastAsia="Times New Roman" w:cs="Times New Roman"/>
                <w:color w:val="000000"/>
              </w:rPr>
              <w:tab/>
              <w:t>100</w:t>
            </w:r>
          </w:hyperlink>
        </w:p>
        <w:p w14:paraId="52CB6249" w14:textId="77777777" w:rsidR="00C33A41" w:rsidRDefault="00E618E3">
          <w:pPr>
            <w:pBdr>
              <w:top w:val="nil"/>
              <w:left w:val="nil"/>
              <w:bottom w:val="nil"/>
              <w:right w:val="nil"/>
              <w:between w:val="nil"/>
            </w:pBdr>
            <w:tabs>
              <w:tab w:val="right" w:pos="8494"/>
            </w:tabs>
            <w:spacing w:after="100" w:line="360" w:lineRule="auto"/>
            <w:ind w:left="440" w:firstLine="269"/>
            <w:rPr>
              <w:rFonts w:eastAsia="Times New Roman" w:cs="Times New Roman"/>
              <w:color w:val="000000"/>
              <w:sz w:val="22"/>
              <w:szCs w:val="22"/>
            </w:rPr>
          </w:pPr>
          <w:hyperlink w:anchor="_heading=h.1jlao46">
            <w:r w:rsidR="007B3952">
              <w:rPr>
                <w:rFonts w:eastAsia="Times New Roman" w:cs="Times New Roman"/>
                <w:color w:val="000000"/>
              </w:rPr>
              <w:t>2.3 Mas como realizar esses sonhos? A falta de trabalho durante a pandemia como dificultador da realização de projetos de vida</w:t>
            </w:r>
            <w:r w:rsidR="007B3952">
              <w:rPr>
                <w:rFonts w:eastAsia="Times New Roman" w:cs="Times New Roman"/>
                <w:color w:val="000000"/>
              </w:rPr>
              <w:tab/>
              <w:t>103</w:t>
            </w:r>
          </w:hyperlink>
        </w:p>
        <w:p w14:paraId="5F867969" w14:textId="77777777" w:rsidR="00C33A41" w:rsidRDefault="00E618E3">
          <w:pPr>
            <w:pBdr>
              <w:top w:val="nil"/>
              <w:left w:val="nil"/>
              <w:bottom w:val="nil"/>
              <w:right w:val="nil"/>
              <w:between w:val="nil"/>
            </w:pBdr>
            <w:tabs>
              <w:tab w:val="right" w:pos="8494"/>
            </w:tabs>
            <w:spacing w:line="360" w:lineRule="auto"/>
            <w:ind w:firstLine="0"/>
            <w:rPr>
              <w:rFonts w:eastAsia="Times New Roman" w:cs="Times New Roman"/>
              <w:color w:val="000000"/>
              <w:sz w:val="22"/>
              <w:szCs w:val="22"/>
            </w:rPr>
          </w:pPr>
          <w:hyperlink w:anchor="_heading=h.2iq8gzs">
            <w:r w:rsidR="007B3952">
              <w:rPr>
                <w:rFonts w:eastAsia="Times New Roman" w:cs="Times New Roman"/>
                <w:b/>
                <w:color w:val="000000"/>
              </w:rPr>
              <w:t>CONSIDERAÇÕES FINAIS</w:t>
            </w:r>
            <w:r w:rsidR="007B3952">
              <w:rPr>
                <w:rFonts w:eastAsia="Times New Roman" w:cs="Times New Roman"/>
                <w:b/>
                <w:color w:val="000000"/>
              </w:rPr>
              <w:tab/>
              <w:t>110</w:t>
            </w:r>
          </w:hyperlink>
        </w:p>
        <w:p w14:paraId="44ECAAC1" w14:textId="77777777" w:rsidR="00C33A41" w:rsidRDefault="00E618E3">
          <w:pPr>
            <w:pBdr>
              <w:top w:val="nil"/>
              <w:left w:val="nil"/>
              <w:bottom w:val="nil"/>
              <w:right w:val="nil"/>
              <w:between w:val="nil"/>
            </w:pBdr>
            <w:tabs>
              <w:tab w:val="right" w:pos="8494"/>
            </w:tabs>
            <w:spacing w:line="360" w:lineRule="auto"/>
            <w:ind w:firstLine="0"/>
            <w:rPr>
              <w:rFonts w:eastAsia="Times New Roman" w:cs="Times New Roman"/>
              <w:color w:val="000000"/>
              <w:sz w:val="22"/>
              <w:szCs w:val="22"/>
            </w:rPr>
          </w:pPr>
          <w:hyperlink w:anchor="_heading=h.xvir7l">
            <w:r w:rsidR="007B3952">
              <w:rPr>
                <w:rFonts w:eastAsia="Times New Roman" w:cs="Times New Roman"/>
                <w:b/>
                <w:color w:val="000000"/>
              </w:rPr>
              <w:t>REFERÊNCIAS</w:t>
            </w:r>
            <w:r w:rsidR="007B3952">
              <w:rPr>
                <w:rFonts w:eastAsia="Times New Roman" w:cs="Times New Roman"/>
                <w:b/>
                <w:color w:val="000000"/>
              </w:rPr>
              <w:tab/>
              <w:t>119</w:t>
            </w:r>
          </w:hyperlink>
        </w:p>
        <w:p w14:paraId="465F8062" w14:textId="77777777" w:rsidR="00C33A41" w:rsidRDefault="00E618E3">
          <w:pPr>
            <w:pBdr>
              <w:top w:val="nil"/>
              <w:left w:val="nil"/>
              <w:bottom w:val="nil"/>
              <w:right w:val="nil"/>
              <w:between w:val="nil"/>
            </w:pBdr>
            <w:tabs>
              <w:tab w:val="right" w:pos="8494"/>
            </w:tabs>
            <w:spacing w:after="100" w:line="360" w:lineRule="auto"/>
            <w:ind w:firstLine="0"/>
            <w:rPr>
              <w:rFonts w:eastAsia="Times New Roman" w:cs="Times New Roman"/>
              <w:color w:val="000000"/>
              <w:sz w:val="22"/>
              <w:szCs w:val="22"/>
            </w:rPr>
          </w:pPr>
          <w:hyperlink w:anchor="_heading=h.1x0gk37">
            <w:r w:rsidR="007B3952">
              <w:rPr>
                <w:rFonts w:eastAsia="Times New Roman" w:cs="Times New Roman"/>
                <w:b/>
                <w:color w:val="000000"/>
              </w:rPr>
              <w:t>ANEXOS</w:t>
            </w:r>
            <w:r w:rsidR="007B3952">
              <w:rPr>
                <w:rFonts w:eastAsia="Times New Roman" w:cs="Times New Roman"/>
                <w:b/>
                <w:color w:val="000000"/>
              </w:rPr>
              <w:tab/>
              <w:t>130</w:t>
            </w:r>
          </w:hyperlink>
        </w:p>
        <w:p w14:paraId="58CD1A60" w14:textId="77777777" w:rsidR="00C33A41" w:rsidRDefault="007B3952">
          <w:pPr>
            <w:spacing w:line="360" w:lineRule="auto"/>
          </w:pPr>
          <w:r>
            <w:fldChar w:fldCharType="end"/>
          </w:r>
        </w:p>
      </w:sdtContent>
    </w:sdt>
    <w:p w14:paraId="4F79A87F" w14:textId="77777777" w:rsidR="00C33A41" w:rsidRDefault="00C33A41">
      <w:pPr>
        <w:pBdr>
          <w:top w:val="nil"/>
          <w:left w:val="nil"/>
          <w:bottom w:val="nil"/>
          <w:right w:val="nil"/>
          <w:between w:val="nil"/>
        </w:pBdr>
        <w:tabs>
          <w:tab w:val="right" w:pos="8494"/>
        </w:tabs>
        <w:spacing w:after="100"/>
        <w:rPr>
          <w:rFonts w:ascii="Calibri" w:hAnsi="Calibri"/>
          <w:color w:val="000000"/>
          <w:sz w:val="22"/>
          <w:szCs w:val="22"/>
        </w:rPr>
        <w:sectPr w:rsidR="00C33A41">
          <w:footerReference w:type="default" r:id="rId10"/>
          <w:pgSz w:w="11906" w:h="16838"/>
          <w:pgMar w:top="1417" w:right="1701" w:bottom="1417" w:left="1701" w:header="708" w:footer="708" w:gutter="0"/>
          <w:pgNumType w:start="1"/>
          <w:cols w:space="720"/>
        </w:sectPr>
      </w:pPr>
    </w:p>
    <w:p w14:paraId="0941DEE4" w14:textId="77777777" w:rsidR="00C33A41" w:rsidRDefault="00C33A41">
      <w:pPr>
        <w:pStyle w:val="Ttulo1"/>
      </w:pPr>
    </w:p>
    <w:p w14:paraId="3F1080A2" w14:textId="77777777" w:rsidR="00C33A41" w:rsidRDefault="007B3952">
      <w:pPr>
        <w:pStyle w:val="Ttulo1"/>
      </w:pPr>
      <w:bookmarkStart w:id="1" w:name="_heading=h.1t3h5sf" w:colFirst="0" w:colLast="0"/>
      <w:bookmarkEnd w:id="1"/>
      <w:r>
        <w:t>APRESENTAÇÃO</w:t>
      </w:r>
    </w:p>
    <w:p w14:paraId="77239C57" w14:textId="77777777" w:rsidR="00C33A41" w:rsidRDefault="007B3952">
      <w:r>
        <w:t>Minha</w:t>
      </w:r>
      <w:r>
        <w:rPr>
          <w:color w:val="000000"/>
          <w:vertAlign w:val="superscript"/>
        </w:rPr>
        <w:footnoteReference w:id="1"/>
      </w:r>
      <w:r>
        <w:t xml:space="preserve"> trajetória como pesquisadora teve início ainda durante a graduação, no curso de Psicologia. Na graduação, desenvolvi Iniciação Científica, que resultou na publicação de um artigo, com foco no desenvolvimento do autoconceito escolar de estudantes do ensino fundamental de uma escola pública. Outra experiência, ainda na graduação e que influenciou todo meu percurso na pesquisa, foi um estágio obrigatório supervisionado desenvolvido em um Centro de Referência Especializada em Assistência Social (CREAS) que oferece o serviço de proteção social a adolescentes em cumprimento de medida socioeducativa de Liberdade Assistida e de Prestação de Serviços à Comunidade. Esse estágio resultou em um capítulo de livro sobre o atendimento psicossocial de adolescentes em conflito com a lei, em que se descreve as ações realizadas com os adolescentes atendidos, tendo como base a Psicologia Positiva. </w:t>
      </w:r>
    </w:p>
    <w:p w14:paraId="2C31BF7A" w14:textId="77777777" w:rsidR="00C33A41" w:rsidRDefault="007B3952">
      <w:pPr>
        <w:ind w:firstLine="720"/>
        <w:rPr>
          <w:color w:val="000000"/>
        </w:rPr>
        <w:sectPr w:rsidR="00C33A41">
          <w:headerReference w:type="default" r:id="rId11"/>
          <w:footerReference w:type="default" r:id="rId12"/>
          <w:pgSz w:w="11906" w:h="16838"/>
          <w:pgMar w:top="1417" w:right="1701" w:bottom="1417" w:left="1701" w:header="708" w:footer="708" w:gutter="0"/>
          <w:pgNumType w:start="13"/>
          <w:cols w:space="720"/>
        </w:sectPr>
      </w:pPr>
      <w:r>
        <w:rPr>
          <w:color w:val="000000"/>
        </w:rPr>
        <w:t>Como sempre tive interesse pela Educação e, devido ao envolvimento com a área desde a graduação, no final da faculdade de psicologia passei a participar de um grupo de pesquisa em uma Pós-Graduação em Educação e tive contato com os pressupostos da Teoria Social Cognitiva. A partir dos estudos no grupo, surgiu o interesse pelo conceito de autoeficácia, que se refere ao julgamento que um indivíduo faz sobre sua capacidade de realizar ou alcançar um resultado determinado (Bandura, 1997). O interesse virou meu tema de pesquisa do mestrado, em Educação, e trabalhei com a análise dos impactos que as variáveis do contexto escolar podem desempenhar sobre as crenças de autoeficácia acadêmica percebida em estudantes do ensino médio, de uma escola periférica no interior de São Paulo.</w:t>
      </w:r>
    </w:p>
    <w:p w14:paraId="0B8B6731" w14:textId="77777777" w:rsidR="00C33A41" w:rsidRDefault="00C33A41">
      <w:pPr>
        <w:ind w:firstLine="720"/>
      </w:pPr>
    </w:p>
    <w:p w14:paraId="7E027B4B" w14:textId="77777777" w:rsidR="00C33A41" w:rsidRDefault="007B3952">
      <w:r>
        <w:rPr>
          <w:color w:val="000000"/>
        </w:rPr>
        <w:tab/>
        <w:t xml:space="preserve">Considero importante pontuar na minha apresentação que meu foco em sempre trabalhar com grupos em condições socioeconômicas mais vulneráveis vem dos atravessamentos que esses aspectos também tiveram na minha vida pessoal. Como mulher, negra, de periferia e de família pobre, tenho um compromisso social comigo e com os meus. Portanto, de forma consciente e crítica, busco transitar entre grupos que, de alguma forma (econômica, social, cultural, historicamente), são atingidos, assim como fui e sou, por estruturas sociais que os colocam em uma situação de vulnerabilidade ou risco social. Esse compromisso é para me lembrar todos os dias que, mesmo estando no meio acadêmico (que ainda é um espaço elitizado, mesmo que muitos queiram negar), do lugar de onde eu vim e que esse lugar ainda está lá, cheio de gente como eu. E eu só sou, porque nós somos! </w:t>
      </w:r>
      <w:r>
        <w:rPr>
          <w:b/>
          <w:color w:val="000000"/>
        </w:rPr>
        <w:t>Ubuntu</w:t>
      </w:r>
      <w:r>
        <w:rPr>
          <w:color w:val="000000"/>
        </w:rPr>
        <w:t>!</w:t>
      </w:r>
    </w:p>
    <w:p w14:paraId="4040EACD" w14:textId="77777777" w:rsidR="00C33A41" w:rsidRDefault="007B3952">
      <w:pPr>
        <w:rPr>
          <w:color w:val="000000"/>
        </w:rPr>
      </w:pPr>
      <w:r>
        <w:rPr>
          <w:color w:val="000000"/>
        </w:rPr>
        <w:tab/>
        <w:t xml:space="preserve">Seguindo a trajetória de trabalhos com crianças e adolescentes, ingressei no doutorado em Psicologia, tendo como objetivo a elaboração de uma tecnologia psicossocial para o desenvolvimento de projetos de vida com adolescentes em cumprimento de medidas socioeducativas em meio aberto. Porém, a pandemia do Covid-19 também atravessou o espaço acadêmico e meus planos precisaram ser reajustados. Diante da realidade ocasionada pela pandemia e a urgência de estudos sobre a temática, desenvolvi, junto ao Grupo de Trabalho (GT) “Juventude, resiliência e vulnerabilidade”, vinculado à Associação Nacional de Pesquisa e Pós-Graduação em Psicologia (ANPEPP), a pesquisa da qual derivou a presente tese. </w:t>
      </w:r>
    </w:p>
    <w:p w14:paraId="157C8C5F" w14:textId="77777777" w:rsidR="00C33A41" w:rsidRDefault="007B3952">
      <w:pPr>
        <w:ind w:firstLine="720"/>
        <w:rPr>
          <w:color w:val="000000"/>
        </w:rPr>
      </w:pPr>
      <w:r>
        <w:rPr>
          <w:color w:val="000000"/>
        </w:rPr>
        <w:t xml:space="preserve">A pesquisa nacional do GT, intitulada “Impactos da pandemia COVID-19 no cotidiano de adolescentes brasileiros em situação de vulnerabilidade social”, tem como objetivo central compreender os impactos das experiências da pandemia para o desenvolvimento de adolescentes brasileiros que se encontram em situação de </w:t>
      </w:r>
      <w:r>
        <w:rPr>
          <w:color w:val="000000"/>
        </w:rPr>
        <w:lastRenderedPageBreak/>
        <w:t>vulnerabilidade social. Na pesquisa multicêntrica e de abrangência nacional, participaram adolescentes que vivem em situação de rua, que cumprem medidas socioeducativas em meio aberto e fechado, que vivem em instituição de acolhimento e que estudam em escolas públicas localizadas em regiões com altos índices de exclusão e vulnerabilidade social. Cabe salientar que o estudo foi viabilizado pela disponibilização de recursos obtidos junto à Coordenação de Aperfeiçoamento de Pessoal de Nível Superior (CAPES; proc. nº 23038.004534/2022-05) e Conselho Nacional de Desenvolvimento Científico e Tecnológico (CNPq; proc. nº 406975/2021-3).</w:t>
      </w:r>
    </w:p>
    <w:p w14:paraId="6621E071" w14:textId="77777777" w:rsidR="00C33A41" w:rsidRDefault="007B3952">
      <w:pPr>
        <w:rPr>
          <w:color w:val="000000"/>
          <w:highlight w:val="white"/>
        </w:rPr>
      </w:pPr>
      <w:r>
        <w:rPr>
          <w:color w:val="000000"/>
        </w:rPr>
        <w:tab/>
        <w:t xml:space="preserve">O recorte feito da pesquisa nacional para esta tese teve como objetivo </w:t>
      </w:r>
      <w:r>
        <w:rPr>
          <w:color w:val="000000"/>
          <w:highlight w:val="white"/>
        </w:rPr>
        <w:t>compreender os impactos que a pandemia teve no que se refere às rupturas sociais e relacionais provocadas pela pandemia do COVID-19 na vida de adolescentes em situação de exclusão social e em cumprimento de medida socioeducativa de internação, bem como verificar as influências do contexto pandêmico nos seus projetos de vida e expectativas futuras. Como objetivos específicos foram estabelecidos:</w:t>
      </w:r>
    </w:p>
    <w:p w14:paraId="3CAC3747" w14:textId="77777777" w:rsidR="00C33A41" w:rsidRDefault="007B3952">
      <w:pPr>
        <w:numPr>
          <w:ilvl w:val="0"/>
          <w:numId w:val="1"/>
        </w:numPr>
        <w:pBdr>
          <w:top w:val="nil"/>
          <w:left w:val="nil"/>
          <w:bottom w:val="nil"/>
          <w:right w:val="nil"/>
          <w:between w:val="nil"/>
        </w:pBdr>
        <w:rPr>
          <w:color w:val="000000"/>
          <w:highlight w:val="white"/>
        </w:rPr>
      </w:pPr>
      <w:r>
        <w:rPr>
          <w:color w:val="000000"/>
        </w:rPr>
        <w:t>Averiguar as rupturas sociais desencadeadas pela pandemia (escolas, projetos sociais, espaços culturais e comunitários, entre outros) – Capítulo 3;</w:t>
      </w:r>
    </w:p>
    <w:p w14:paraId="35D16BAC" w14:textId="77777777" w:rsidR="00C33A41" w:rsidRDefault="007B3952">
      <w:pPr>
        <w:numPr>
          <w:ilvl w:val="0"/>
          <w:numId w:val="9"/>
        </w:numPr>
      </w:pPr>
      <w:r>
        <w:t>Verificar as rupturas relacionais sofridas durante a pandemia (família, amigos) – Capítulo 3;</w:t>
      </w:r>
    </w:p>
    <w:p w14:paraId="3E1C66E6" w14:textId="77777777" w:rsidR="00C33A41" w:rsidRDefault="007B3952">
      <w:pPr>
        <w:numPr>
          <w:ilvl w:val="0"/>
          <w:numId w:val="9"/>
        </w:numPr>
        <w:rPr>
          <w:color w:val="000000"/>
          <w:highlight w:val="white"/>
        </w:rPr>
      </w:pPr>
      <w:r>
        <w:t>Avaliar as possíveis alterações na percepção de projetos de vida existentes antes da pandemia – Capítulo 4;</w:t>
      </w:r>
    </w:p>
    <w:p w14:paraId="62A44EFC" w14:textId="77777777" w:rsidR="00C33A41" w:rsidRDefault="007B3952">
      <w:pPr>
        <w:numPr>
          <w:ilvl w:val="0"/>
          <w:numId w:val="9"/>
        </w:numPr>
        <w:rPr>
          <w:color w:val="000000"/>
          <w:highlight w:val="white"/>
        </w:rPr>
      </w:pPr>
      <w:r>
        <w:t>Analisar quais são as expectativas em relação ao futuro dos adolescentes, no período pós-pandêmico – Capítulo 4.</w:t>
      </w:r>
    </w:p>
    <w:p w14:paraId="5476F3AF" w14:textId="77777777" w:rsidR="00C33A41" w:rsidRDefault="007B3952">
      <w:pPr>
        <w:ind w:firstLine="360"/>
      </w:pPr>
      <w:r>
        <w:rPr>
          <w:color w:val="000000"/>
          <w:highlight w:val="white"/>
        </w:rPr>
        <w:t>Os adolescentes participantes foram recrutados nas cinco macrorregiões do Brasil. A tese encontra-se configurada em quatro capítulos, a saber:</w:t>
      </w:r>
    </w:p>
    <w:p w14:paraId="726F6E1E" w14:textId="77777777" w:rsidR="00C33A41" w:rsidRDefault="007B3952">
      <w:pPr>
        <w:numPr>
          <w:ilvl w:val="0"/>
          <w:numId w:val="2"/>
        </w:numPr>
      </w:pPr>
      <w:r>
        <w:rPr>
          <w:highlight w:val="white"/>
        </w:rPr>
        <w:lastRenderedPageBreak/>
        <w:t xml:space="preserve">Capítulo 1: aborda teoricamente a pandemia e as repercussões no desenvolvimento de adolescentes em situação de exclusão social e em cumprimento de medida socioeducativa de internação. O capítulo encontra-se organizado em quatro subtópicos: i) uma breve caracterização do contexto da pandemia do Covid-19, com dados epidemiológicos e sociodemográficos no Brasil e no mundo; ii) uma reflexão sobre a situação de adolescentes que já vivenciavam vulnerabilidades sociais e seus desafios frente à pandemia, considerando dados de organizações nacionais e internacionais; iii) apresentação dos principais conceitos da Teoria Bioecológica do Desenvolvimento Humano e sua </w:t>
      </w:r>
      <w:r>
        <w:t>articulação</w:t>
      </w:r>
      <w:r>
        <w:rPr>
          <w:highlight w:val="white"/>
        </w:rPr>
        <w:t xml:space="preserve"> para a compreensão do contexto da pandemia na vida de adolescentes; e iv) apresentação de estudos atuais sobre adolescentes em situação de vulnerabilidade e em privação de liberdade durante a pandemia do Covid-19, considerando, também, publicações nacionais e internacionais.</w:t>
      </w:r>
    </w:p>
    <w:p w14:paraId="37E0642B" w14:textId="77777777" w:rsidR="00C33A41" w:rsidRDefault="007B3952">
      <w:pPr>
        <w:numPr>
          <w:ilvl w:val="0"/>
          <w:numId w:val="2"/>
        </w:numPr>
      </w:pPr>
      <w:r>
        <w:rPr>
          <w:highlight w:val="white"/>
        </w:rPr>
        <w:t xml:space="preserve">Capítulo 2: apresentação da descrição metodológica da pesquisa de campo realizada. No capítulo, apresenta-se a relação da presente tese com um estudo nacional desenvolvido pelo </w:t>
      </w:r>
      <w:r>
        <w:t>Grupo de Trabalho (GT) “Juventude, resiliência e vulnerabilidade” da Associação Nacional de Pesquisa e Pós-Graduação em Psicologia (ANPEPP). Na sequência, descreve-se, detalhadamente, os objetivos gerais e específicos da pesquisa, o desenho do método, os participantes e instituições do estudo, os instrumentos aplicados e, por fim, o detalhamento dos procedimentos de coleta e análise dos dados da pesquisa</w:t>
      </w:r>
      <w:r>
        <w:rPr>
          <w:highlight w:val="white"/>
        </w:rPr>
        <w:t>;</w:t>
      </w:r>
    </w:p>
    <w:p w14:paraId="366F956C" w14:textId="77777777" w:rsidR="00C33A41" w:rsidRDefault="007B3952">
      <w:pPr>
        <w:numPr>
          <w:ilvl w:val="0"/>
          <w:numId w:val="2"/>
        </w:numPr>
      </w:pPr>
      <w:r>
        <w:rPr>
          <w:highlight w:val="white"/>
        </w:rPr>
        <w:t xml:space="preserve">Capítulo 3: conta com a descrição dos resultados da pesquisa de campo sobre a temática de rupturas sociais e relacionais dos adolescentes durante a pandemia. Inicialmente, é apresentada uma introdução teórica, articulando os conceitos centrais do estudo (o impacto da pandemia nas rupturas vivenciadas por </w:t>
      </w:r>
      <w:r>
        <w:rPr>
          <w:highlight w:val="white"/>
        </w:rPr>
        <w:lastRenderedPageBreak/>
        <w:t>adolescentes em privação de liberdade, especificamente no contexto brasileiro) e, na sequência, é realizada a apresentação dos resultados e as discussões dos dados;</w:t>
      </w:r>
    </w:p>
    <w:p w14:paraId="71C414DE" w14:textId="77777777" w:rsidR="00C33A41" w:rsidRDefault="007B3952">
      <w:pPr>
        <w:numPr>
          <w:ilvl w:val="0"/>
          <w:numId w:val="2"/>
        </w:numPr>
      </w:pPr>
      <w:r>
        <w:rPr>
          <w:highlight w:val="white"/>
        </w:rPr>
        <w:t>Capítulo 4: com dados da pesquisa de campo, este capítulo aborda o tema de projetos de vida dos adolescentes e as influências da pandemia nesses projetos. Portanto, também é apresentada inicialmente uma introdução teórica sobre projetos de vida na realidade de adolescentes brasileiros privados de liberdade e a influência da pandemia sobre os mesmos. Posteriormente, encontra-se a exposição dos dados e a discussão destes achados com a literatura da área.</w:t>
      </w:r>
    </w:p>
    <w:p w14:paraId="0A61712D" w14:textId="77777777" w:rsidR="00C33A41" w:rsidRDefault="007B3952">
      <w:pPr>
        <w:numPr>
          <w:ilvl w:val="0"/>
          <w:numId w:val="2"/>
        </w:numPr>
        <w:pBdr>
          <w:top w:val="nil"/>
          <w:left w:val="nil"/>
          <w:bottom w:val="nil"/>
          <w:right w:val="nil"/>
          <w:between w:val="nil"/>
        </w:pBdr>
      </w:pPr>
      <w:r>
        <w:rPr>
          <w:highlight w:val="white"/>
        </w:rPr>
        <w:t>Capítulo 5: Considerações Finais da tese, que discute e articula os resultados obtidos com intenção de fornecer ao leitor uma compreensão integral de toda a pesquisa, além da apresentação da tese identificada e defendida pelo estudo. Para encerrar, foram destacadas as limitações e as sugestões para futuras propostas de investigação sobre a temática. </w:t>
      </w:r>
    </w:p>
    <w:p w14:paraId="573F8DCF" w14:textId="77777777" w:rsidR="00C33A41" w:rsidRDefault="007B3952">
      <w:pPr>
        <w:ind w:firstLine="360"/>
      </w:pPr>
      <w:r>
        <w:t>Espero, com este estudo, reafirmar meu compromisso científico, social, político, ético e pessoal com adolescentes brasileiros que vivenciam situações de risco e exclusões sociais. Além disso, busco contribuir para o desenvolvimento de uma Psicologia mais atenta e crítica a populações marginalizadas não apenas socialmente, mas também cientificamente pela nossa própria área. Que o campo da Psicologia, que tantas vezes operou mais desserviços do que ações efetivas para muitos grupos, possa encontrar um caminho de comprometimento real com os preceitos que são lindamente postulados em papéis, mas que até hoje não alcançaram, na realidade concreta, um grande contingente de pessoas.</w:t>
      </w:r>
    </w:p>
    <w:p w14:paraId="3C301C76" w14:textId="77777777" w:rsidR="00C33A41" w:rsidRDefault="00C33A41"/>
    <w:p w14:paraId="1CC0A1AD" w14:textId="77777777" w:rsidR="00C33A41" w:rsidRDefault="00C33A41"/>
    <w:p w14:paraId="25073647" w14:textId="77777777" w:rsidR="00C33A41" w:rsidRDefault="007B3952">
      <w:r>
        <w:br w:type="page"/>
      </w:r>
    </w:p>
    <w:p w14:paraId="20B9FFC3" w14:textId="77777777" w:rsidR="00C33A41" w:rsidRDefault="007B3952">
      <w:pPr>
        <w:pStyle w:val="Ttulo1"/>
      </w:pPr>
      <w:bookmarkStart w:id="2" w:name="_heading=h.2s8eyo1" w:colFirst="0" w:colLast="0"/>
      <w:bookmarkEnd w:id="2"/>
      <w:r>
        <w:lastRenderedPageBreak/>
        <w:t>CAPÍTULO 1 - A PANDEMIA DO COVID-19 NO DESENVOLVIMENTO DE ADOLESCENTES EM SITUAÇÃO DE EXCLUSÃO E VULNERABILIDADES SOCIAIS: CONTRIBUIÇÕES TEÓRICAS</w:t>
      </w:r>
    </w:p>
    <w:p w14:paraId="1A9597A3" w14:textId="77777777" w:rsidR="00C33A41" w:rsidRDefault="00C33A41">
      <w:pPr>
        <w:rPr>
          <w:b/>
        </w:rPr>
      </w:pPr>
    </w:p>
    <w:p w14:paraId="77E6F9BD" w14:textId="77777777" w:rsidR="00C33A41" w:rsidRDefault="007B3952">
      <w:pPr>
        <w:pStyle w:val="Ttulo2"/>
      </w:pPr>
      <w:bookmarkStart w:id="3" w:name="_heading=h.17dp8vu" w:colFirst="0" w:colLast="0"/>
      <w:bookmarkEnd w:id="3"/>
      <w:r>
        <w:t>1.1 Caracterização do contexto social desencadeado pela pandemia</w:t>
      </w:r>
    </w:p>
    <w:p w14:paraId="7307CA55" w14:textId="77777777" w:rsidR="00C33A41" w:rsidRDefault="007B3952">
      <w:pPr>
        <w:ind w:firstLine="708"/>
        <w:rPr>
          <w:color w:val="000000"/>
        </w:rPr>
      </w:pPr>
      <w:bookmarkStart w:id="4" w:name="_heading=h.1fob9te" w:colFirst="0" w:colLast="0"/>
      <w:bookmarkEnd w:id="4"/>
      <w:r>
        <w:t xml:space="preserve">A pandemia do Covid-19 (SARS-CoV-2), que teve início no final de 2019, tem sido considerada um dos maiores desafios sanitários do século e ocasionou uma alteração do modo de vida e da rotina da população mundial (Werneck &amp; Carvalho, 2020). O primeiro caso foi confirmado em uma cidade Chinesa e, rapidamente, se espalhou por diversos países. Com a velocidade de transmissão </w:t>
      </w:r>
      <w:r>
        <w:rPr>
          <w:color w:val="000000"/>
        </w:rPr>
        <w:t xml:space="preserve">da doença e a gravidade dos casos, em março de 2020 a </w:t>
      </w:r>
      <w:r>
        <w:t>Organização Mundial da Saúde (OMS) declarou situação de pandemia em todo o mundo. Até abril de 2023, o levantamento feito pela Organização Pan-Americana de Saúde (OPAS) indicou que já foram diagnosticados mais de 767 milhões de casos confirmados e, aproximadamente, 6,941 milhões de mortes em decorrência do Covid-19 em todo o mundo. No caso do Brasil, até maio de 2022, foram registrados mais de 31 milhões de casos confirmados e mais de 660 mil óbitos (Organização Mundial de Saúde, 2023).</w:t>
      </w:r>
    </w:p>
    <w:p w14:paraId="0CEA16B1" w14:textId="77777777" w:rsidR="00C33A41" w:rsidRDefault="007B3952">
      <w:pPr>
        <w:shd w:val="clear" w:color="auto" w:fill="FFFFFF"/>
      </w:pPr>
      <w:r>
        <w:rPr>
          <w:color w:val="000000"/>
        </w:rPr>
        <w:tab/>
      </w:r>
      <w:r>
        <w:t>Com relação à distribuição pelo país, a região que mais teve casos registrados foi o Sudeste com, aproximadamente, 14,975 casos confirmados e 338,404 óbitos. São Paulo foi o estado brasileiro que mais registrou casos de Covid-19 no país, com números que se aproximam, até junho de 2023, de 6,619 milhões de casos e 180 mil óbitos. A segunda região com a maior incidência de casos foi o Nordeste (com 7.386.232 de casos e 135.457 óbitos). Quanto à região que contabilizou menos casos foi o Norte, sendo que foram registrados em torno de 2.910.356 casos e 51.714</w:t>
      </w:r>
      <w:r>
        <w:rPr>
          <w:rFonts w:ascii="Arial" w:eastAsia="Arial" w:hAnsi="Arial" w:cs="Arial"/>
          <w:sz w:val="20"/>
          <w:szCs w:val="20"/>
        </w:rPr>
        <w:t xml:space="preserve"> </w:t>
      </w:r>
      <w:r>
        <w:t xml:space="preserve">óbitos (Brasil, 2020). </w:t>
      </w:r>
    </w:p>
    <w:p w14:paraId="0B7548DD" w14:textId="77777777" w:rsidR="00C33A41" w:rsidRDefault="007B3952">
      <w:pPr>
        <w:shd w:val="clear" w:color="auto" w:fill="FFFFFF"/>
        <w:rPr>
          <w:color w:val="000000"/>
        </w:rPr>
      </w:pPr>
      <w:r>
        <w:lastRenderedPageBreak/>
        <w:tab/>
        <w:t xml:space="preserve">Diante deste contexto, muitas dúvidas surgiram com relação às estratégias que seriam mais adequadas para o enfrentamento da pandemia. O conhecimento científico inicialmente insuficientes sobre o vírus, a rápida transmissibilidade e a alta no número de mortes em populações consideradas vulneráveis acentuaram ainda mais as preocupações dos órgãos de saúde sobre quais ações de contenção tomar para lidar com os desdobramentos ocasionado pelo Covid-19 ao redor do mundo (Werneck &amp; Carvalho, 2020). </w:t>
      </w:r>
    </w:p>
    <w:p w14:paraId="2D79017B" w14:textId="77777777" w:rsidR="00C33A41" w:rsidRDefault="007B3952">
      <w:pPr>
        <w:shd w:val="clear" w:color="auto" w:fill="FFFFFF"/>
        <w:ind w:firstLine="720"/>
        <w:rPr>
          <w:color w:val="FF0000"/>
        </w:rPr>
      </w:pPr>
      <w:r>
        <w:rPr>
          <w:color w:val="000000"/>
        </w:rPr>
        <w:t xml:space="preserve">Com relação </w:t>
      </w:r>
      <w:r>
        <w:t>às medidas</w:t>
      </w:r>
      <w:r>
        <w:rPr>
          <w:color w:val="000000"/>
        </w:rPr>
        <w:t xml:space="preserve"> de contenção recomendadas mundialmente, a principal e de maior impacto foi o isolamento social (ou quarentena), considerada pela OMS como estratégia fundamental para conter o crescimento exponencial de casos e a sobrecarga dos serviços de saúde (Marques, et al., 2020).</w:t>
      </w:r>
      <w:r>
        <w:rPr>
          <w:color w:val="FF0000"/>
        </w:rPr>
        <w:t xml:space="preserve"> </w:t>
      </w:r>
      <w:r>
        <w:rPr>
          <w:color w:val="000000"/>
        </w:rPr>
        <w:t>Entretanto, a forma com que essas recomendações foram seguidas trouxeram repercussões em diversas áreas, incluindo nos processos educacionais e de saúde, nos relacionamentos interpessoais e, sem dúvidas, em todos os níveis do setor econômico.</w:t>
      </w:r>
    </w:p>
    <w:p w14:paraId="163A9232" w14:textId="77777777" w:rsidR="00C33A41" w:rsidRDefault="007B3952">
      <w:r>
        <w:rPr>
          <w:color w:val="000000"/>
        </w:rPr>
        <w:tab/>
        <w:t xml:space="preserve">Somado a esses fatores desencadeados pela pandemia com a realidade de crises sociais e econômicas que alguns países já passavam, observa-se um desmonte das políticas sociais, principalmente as de saúde, educação e assistência social. O Brasil, por exemplo, já vivenciava uma reorganização política e econômica de desmontes e retirada de direitos básicos para grande parte da população. As classes socioeconomicamente mais vulneráveis tiveram seus problemas acentuados diante da pandemia e seus efeitos. Dessa forma, muitas pessoas acabaram ficando sem as condições necessárias para aderir </w:t>
      </w:r>
      <w:r>
        <w:t>às recomendações</w:t>
      </w:r>
      <w:r>
        <w:rPr>
          <w:color w:val="000000"/>
        </w:rPr>
        <w:t xml:space="preserve"> (como o isolamento) devido a precariedade em que vivem (Pinto &amp; Cerqueira, 2020). </w:t>
      </w:r>
    </w:p>
    <w:p w14:paraId="600738B7" w14:textId="77777777" w:rsidR="00C33A41" w:rsidRDefault="007B3952">
      <w:pPr>
        <w:shd w:val="clear" w:color="auto" w:fill="FFFFFF"/>
        <w:ind w:firstLine="720"/>
        <w:rPr>
          <w:color w:val="000000"/>
        </w:rPr>
      </w:pPr>
      <w:r>
        <w:t>Além disso, a situação brasileira durante a pandemia se agravou também por estar diante de um governo não apenas neoliberal, como também fascista (</w:t>
      </w:r>
      <w:proofErr w:type="spellStart"/>
      <w:r>
        <w:t>Boito</w:t>
      </w:r>
      <w:proofErr w:type="spellEnd"/>
      <w:r>
        <w:t xml:space="preserve">, 2020). Desde </w:t>
      </w:r>
      <w:r>
        <w:lastRenderedPageBreak/>
        <w:t>o início da disseminação do vírus, o ex-presidente Jair Bolsonaro adotou discursos negacionistas e se posicionou contrário às indicações dos órgãos mundiais de saúde e ignorou medidas de segurança e isolamento social (Fonseca &amp; Silva, 2021). Isso fez com que o panorama brasileiro se tornasse incerto, devido a inexistência de estimativas válidas e confiáveis. Desse modo, não se sabe ao certo como a pandemia afetou, e ainda afetará nos próximos anos, a população, principalmente aquelas que já se encontravam em situações de riscos sociais (Werneck &amp; Carvalho, 2020).</w:t>
      </w:r>
    </w:p>
    <w:p w14:paraId="1017B94C" w14:textId="77777777" w:rsidR="00C33A41" w:rsidRDefault="007B3952">
      <w:bookmarkStart w:id="5" w:name="_heading=h.3znysh7" w:colFirst="0" w:colLast="0"/>
      <w:bookmarkEnd w:id="5"/>
      <w:r>
        <w:tab/>
        <w:t xml:space="preserve">Ao refletir sobre as consequências da pandemia, pesquisadores e especialistas têm debatido a importância de se analisar como os Estados promoverão ações e políticas públicas de mitigação dos efeitos negativos e, especialmente, de promoção de saúde e desenvolvimento social da população (Marques et al., 2020; Pinto &amp; Cerqueira, 2020; Werneck &amp; Carvalho, 2020). Duas áreas que têm sido centrais no combate ao Covid-19, mas que passaram por um desmonte, são o Sistema Único de Saúde (SUS) e o Sistema Único de Assistência Social (SUAS) </w:t>
      </w:r>
      <w:r>
        <w:rPr>
          <w:color w:val="000000"/>
        </w:rPr>
        <w:t>(Pinto &amp; Cerqueira, 2020)</w:t>
      </w:r>
      <w:r>
        <w:t xml:space="preserve">. Ambos os setores são essenciais para a garantia de direito e proteção da população, mas especialmente dos mais vulneráveis. Entretanto, diante da ausência de uma efetiva articulação nacional em torno destas políticas, grande parte da população seguiu sem aderir às medidas de isolamento e ainda vivenciam o aumento dos riscos sociais </w:t>
      </w:r>
      <w:r>
        <w:rPr>
          <w:color w:val="000000"/>
        </w:rPr>
        <w:t>(Marques et al., 2020)</w:t>
      </w:r>
      <w:r>
        <w:t>.</w:t>
      </w:r>
    </w:p>
    <w:p w14:paraId="792C52E7" w14:textId="77777777" w:rsidR="00C33A41" w:rsidRDefault="007B3952">
      <w:pPr>
        <w:ind w:firstLine="708"/>
      </w:pPr>
      <w:r>
        <w:t xml:space="preserve">Diante desta realidade, pode-se considerar que o Covid-19 e seus desdobramentos caracterizam-se não apenas como uma pandemia, mas como uma situação sindêmica. A sindemia é considerada uma combinação e potencialização de problemas sanitários, sociais, econômicos e culturais (Veiga-Neto, 2020). A perspectiva de sindemia busca investigar o agrupamento de doenças, as interações biológicas entre elas e dentro das populações atingidas e o quanto as condições socioeconômicas e culturais contribuem para a acentuação ou a interação das doenças com determinadas vulnerabilidades (Singer </w:t>
      </w:r>
      <w:r>
        <w:lastRenderedPageBreak/>
        <w:t xml:space="preserve">et al., 2017). Dessa forma, a disseminação do Covid-19 em um contexto de desigualdades socioeconômicas intensifica os efeitos que a doença teria. </w:t>
      </w:r>
    </w:p>
    <w:p w14:paraId="34754DE5" w14:textId="77777777" w:rsidR="00C33A41" w:rsidRDefault="007B3952">
      <w:pPr>
        <w:shd w:val="clear" w:color="auto" w:fill="FFFFFF"/>
        <w:ind w:firstLine="720"/>
        <w:rPr>
          <w:color w:val="000000"/>
        </w:rPr>
      </w:pPr>
      <w:r>
        <w:t>No Brasil, é possível identificar algumas crises que se combinam e se reforçam mutuamente, entre elas a saturação no sistema de saúde, a tensão política e a recessão econômica (Veiga-Neto, 2020). A pandemia da Covid-19, por exemplo, atingiu a população brasileira em um período de extrema vulnerabilidade, entre elas as altas taxas de desemprego e cortes e desmontes significativos nos investimentos em políticas sociais (Werneck &amp; Carvalho, 2020). Dessa forma, o país foi atravessado não apenas por uma crise de saúde, mas por diversas crises sobrepostas e a pandemia catalisou processos excludentes que já eram vivenciados pela população (Melo &amp; Cabral, 2020). Esse fator evidencia a necessidade de estudos voltados a segmentos da população que já se encontravam em situações de risco e podem ter sido ainda mais vitimizadas devido à pandemia.</w:t>
      </w:r>
    </w:p>
    <w:p w14:paraId="133A2C47" w14:textId="77777777" w:rsidR="00C33A41" w:rsidRDefault="00C33A41"/>
    <w:p w14:paraId="39C14A5A" w14:textId="77777777" w:rsidR="00C33A41" w:rsidRDefault="007B3952">
      <w:pPr>
        <w:pStyle w:val="Ttulo2"/>
      </w:pPr>
      <w:bookmarkStart w:id="6" w:name="_heading=h.3rdcrjn" w:colFirst="0" w:colLast="0"/>
      <w:bookmarkEnd w:id="6"/>
      <w:r>
        <w:t xml:space="preserve">1.2 Adolescentes em situação de vulnerabilidade social frente aos desafios impostos pela pandemia </w:t>
      </w:r>
    </w:p>
    <w:p w14:paraId="474E3F21" w14:textId="77777777" w:rsidR="00C33A41" w:rsidRDefault="007B3952">
      <w:pPr>
        <w:ind w:firstLine="708"/>
      </w:pPr>
      <w:r>
        <w:t xml:space="preserve">Como indicado, nesse contexto descrito acima, as populações que já vivenciavam situações de vulnerabilidade ficaram ainda mais expostas a riscos psicossociais. No caso da população infanto-juvenil em situação de vulnerabilidade social, os cuidados deveriam ser redobrados, pois entende-se que a pandemia da Covid-19 acentuou as desigualdades já existentes (Cohen &amp; </w:t>
      </w:r>
      <w:proofErr w:type="spellStart"/>
      <w:r>
        <w:t>Bosk</w:t>
      </w:r>
      <w:proofErr w:type="spellEnd"/>
      <w:r>
        <w:t xml:space="preserve">, 2020). </w:t>
      </w:r>
    </w:p>
    <w:p w14:paraId="1FD8A610" w14:textId="77777777" w:rsidR="00C33A41" w:rsidRDefault="007B3952">
      <w:pPr>
        <w:ind w:firstLine="708"/>
      </w:pPr>
      <w:r>
        <w:t xml:space="preserve">As adversidades causadas pela Covid-19 e pelas medidas de contenção associadas afetaram crianças, adolescentes e as famílias severamente. Isso ocorreu porque o período de quarentena, associado com o aumento da instabilidade econômica e social, acentuou a exposição a fatores de risco até mesmo no contexto intrafamiliar (Cohen &amp; </w:t>
      </w:r>
      <w:proofErr w:type="spellStart"/>
      <w:r>
        <w:t>Bosk</w:t>
      </w:r>
      <w:proofErr w:type="spellEnd"/>
      <w:r>
        <w:t xml:space="preserve">, 2020). </w:t>
      </w:r>
      <w:r>
        <w:lastRenderedPageBreak/>
        <w:t>Dessa forma, ambientes familiares que já se encontravam em situação de vulnerabilidade social, foram assolados de forma ainda mais contundente pela falta de recursos, pelas restrições de movimentação, aumento do desemprego e diminuição da renda, bem como pelo fechamento de escolas e dos serviços sociais protetivos, entre outros aspectos (</w:t>
      </w:r>
      <w:r>
        <w:rPr>
          <w:i/>
        </w:rPr>
        <w:t xml:space="preserve">Alliance for </w:t>
      </w:r>
      <w:proofErr w:type="spellStart"/>
      <w:r>
        <w:rPr>
          <w:i/>
        </w:rPr>
        <w:t>Child</w:t>
      </w:r>
      <w:proofErr w:type="spellEnd"/>
      <w:r>
        <w:rPr>
          <w:i/>
        </w:rPr>
        <w:t xml:space="preserve"> </w:t>
      </w:r>
      <w:proofErr w:type="spellStart"/>
      <w:r>
        <w:rPr>
          <w:i/>
        </w:rPr>
        <w:t>Protection</w:t>
      </w:r>
      <w:proofErr w:type="spellEnd"/>
      <w:r>
        <w:rPr>
          <w:i/>
        </w:rPr>
        <w:t xml:space="preserve"> in </w:t>
      </w:r>
      <w:proofErr w:type="spellStart"/>
      <w:r>
        <w:rPr>
          <w:i/>
        </w:rPr>
        <w:t>Humanitarian</w:t>
      </w:r>
      <w:proofErr w:type="spellEnd"/>
      <w:r>
        <w:rPr>
          <w:i/>
        </w:rPr>
        <w:t xml:space="preserve"> </w:t>
      </w:r>
      <w:proofErr w:type="spellStart"/>
      <w:r>
        <w:rPr>
          <w:i/>
        </w:rPr>
        <w:t>Action</w:t>
      </w:r>
      <w:proofErr w:type="spellEnd"/>
      <w:r>
        <w:rPr>
          <w:i/>
        </w:rPr>
        <w:t>,</w:t>
      </w:r>
      <w:r>
        <w:t xml:space="preserve"> 2020).</w:t>
      </w:r>
    </w:p>
    <w:p w14:paraId="55677BD1" w14:textId="77777777" w:rsidR="00C33A41" w:rsidRDefault="007B3952">
      <w:pPr>
        <w:ind w:firstLine="708"/>
      </w:pPr>
      <w:bookmarkStart w:id="7" w:name="_heading=h.tyjcwt" w:colFirst="0" w:colLast="0"/>
      <w:bookmarkEnd w:id="7"/>
      <w:r>
        <w:t xml:space="preserve">Um outro complicador foi a dificuldade de acesso aos serviços e programas disponíveis na rede de proteção (de segurança, educação, saúde e assistência social), visto que as equipes e os atendimentos foram diminuídos ou até mesmo tornaram-se inacessíveis durante a pandemia (Cohen &amp; </w:t>
      </w:r>
      <w:proofErr w:type="spellStart"/>
      <w:r>
        <w:t>Bosk</w:t>
      </w:r>
      <w:proofErr w:type="spellEnd"/>
      <w:r>
        <w:t>, 2020). No caso da área educacional, por exemplo, a Organização das Nações Unidas para a Educação, a Ciência e a Cultura – UNESCO (2021) estimou que, aproximadamente, 1,5 bilhões de crianças e adolescentes no mundo ficaram fora das escolas (espaço considerado protetivo) devido ao fechamento das instituições para a contenção dos casos de Covid-19. Além disso, devido a demanda causada pela doença, alguns setores públicos, que anteriormente já estavam sobrecarregados, acabaram não dando conta do aumento da demanda de atendimentos (</w:t>
      </w:r>
      <w:r>
        <w:rPr>
          <w:i/>
        </w:rPr>
        <w:t xml:space="preserve">Alliance for </w:t>
      </w:r>
      <w:proofErr w:type="spellStart"/>
      <w:r>
        <w:rPr>
          <w:i/>
        </w:rPr>
        <w:t>Child</w:t>
      </w:r>
      <w:proofErr w:type="spellEnd"/>
      <w:r>
        <w:rPr>
          <w:i/>
        </w:rPr>
        <w:t xml:space="preserve"> </w:t>
      </w:r>
      <w:proofErr w:type="spellStart"/>
      <w:r>
        <w:rPr>
          <w:i/>
        </w:rPr>
        <w:t>Protection</w:t>
      </w:r>
      <w:proofErr w:type="spellEnd"/>
      <w:r>
        <w:rPr>
          <w:i/>
        </w:rPr>
        <w:t xml:space="preserve"> in </w:t>
      </w:r>
      <w:proofErr w:type="spellStart"/>
      <w:r>
        <w:rPr>
          <w:i/>
        </w:rPr>
        <w:t>Humanitarian</w:t>
      </w:r>
      <w:proofErr w:type="spellEnd"/>
      <w:r>
        <w:rPr>
          <w:i/>
        </w:rPr>
        <w:t xml:space="preserve"> </w:t>
      </w:r>
      <w:proofErr w:type="spellStart"/>
      <w:r>
        <w:rPr>
          <w:i/>
        </w:rPr>
        <w:t>Action</w:t>
      </w:r>
      <w:proofErr w:type="spellEnd"/>
      <w:r>
        <w:rPr>
          <w:i/>
        </w:rPr>
        <w:t>,</w:t>
      </w:r>
      <w:r>
        <w:t xml:space="preserve"> 2020). </w:t>
      </w:r>
    </w:p>
    <w:p w14:paraId="7E05F01E" w14:textId="77777777" w:rsidR="00C33A41" w:rsidRDefault="007B3952">
      <w:pPr>
        <w:ind w:firstLine="708"/>
      </w:pPr>
      <w:r>
        <w:t xml:space="preserve">A </w:t>
      </w:r>
      <w:r>
        <w:rPr>
          <w:i/>
        </w:rPr>
        <w:t xml:space="preserve">Alliance for </w:t>
      </w:r>
      <w:proofErr w:type="spellStart"/>
      <w:r>
        <w:rPr>
          <w:i/>
        </w:rPr>
        <w:t>Child</w:t>
      </w:r>
      <w:proofErr w:type="spellEnd"/>
      <w:r>
        <w:rPr>
          <w:i/>
        </w:rPr>
        <w:t xml:space="preserve"> </w:t>
      </w:r>
      <w:proofErr w:type="spellStart"/>
      <w:r>
        <w:rPr>
          <w:i/>
        </w:rPr>
        <w:t>Protection</w:t>
      </w:r>
      <w:proofErr w:type="spellEnd"/>
      <w:r>
        <w:rPr>
          <w:i/>
        </w:rPr>
        <w:t xml:space="preserve"> in </w:t>
      </w:r>
      <w:proofErr w:type="spellStart"/>
      <w:r>
        <w:rPr>
          <w:i/>
        </w:rPr>
        <w:t>Humanitarian</w:t>
      </w:r>
      <w:proofErr w:type="spellEnd"/>
      <w:r>
        <w:rPr>
          <w:i/>
        </w:rPr>
        <w:t xml:space="preserve"> </w:t>
      </w:r>
      <w:proofErr w:type="spellStart"/>
      <w:r>
        <w:rPr>
          <w:i/>
        </w:rPr>
        <w:t>Action</w:t>
      </w:r>
      <w:proofErr w:type="spellEnd"/>
      <w:r>
        <w:t xml:space="preserve"> (2020), em nota divulgada sobre a proteção de crianças e adolescentes durante a pandemia, indicou que surtos de doenças anteriores já deixaram indicativos da ocorrência de aumento significativo dos riscos já existentes para essa população. Além disso, também foram verificados o acirramento de vulnerabilidades pré-existentes ou até mesmo o surgimento de novas vulnerabilidades, visto que epidemias/pandemias, geralmente, desencadeiam impactos socioeconômicos que atingem diretamente as medidas de prevenção, controle e proteção destes grupos etários.</w:t>
      </w:r>
    </w:p>
    <w:p w14:paraId="44D99E04" w14:textId="77777777" w:rsidR="00C33A41" w:rsidRDefault="007B3952">
      <w:pPr>
        <w:pBdr>
          <w:top w:val="nil"/>
          <w:left w:val="nil"/>
          <w:bottom w:val="nil"/>
          <w:right w:val="nil"/>
          <w:between w:val="nil"/>
        </w:pBdr>
        <w:ind w:firstLine="708"/>
        <w:rPr>
          <w:color w:val="000000"/>
        </w:rPr>
      </w:pPr>
      <w:r>
        <w:rPr>
          <w:color w:val="000000"/>
        </w:rPr>
        <w:lastRenderedPageBreak/>
        <w:t xml:space="preserve">Um dos segmentos da população juvenil que se enquadrou na condição de vulnerabilidade social e que pode ter sofrido com os impactos da pandemia foram os adolescentes em cumprimento de Medida Socioeducativa (MSE) de internação. Destaca-se que, de acordo com a Lei 8.069, de 13 de julho de 1990, que dispõe sobre o </w:t>
      </w:r>
      <w:r>
        <w:t xml:space="preserve">Estatuto da Criança e do Adolescente – ECA, </w:t>
      </w:r>
      <w:r>
        <w:rPr>
          <w:color w:val="000000"/>
        </w:rPr>
        <w:t>existe a aplicação de seis tipos de medida socioeducativa para adolescentes que praticarem atos infracionais, sendo elas: I) advertência; II) obrigação de reparar o dano; III) prestação de serviços à comunidade;</w:t>
      </w:r>
      <w:bookmarkStart w:id="8" w:name="bookmark=id.41mghml" w:colFirst="0" w:colLast="0"/>
      <w:bookmarkEnd w:id="8"/>
      <w:r>
        <w:rPr>
          <w:color w:val="000000"/>
        </w:rPr>
        <w:t xml:space="preserve"> IV) liberdade assistida;</w:t>
      </w:r>
      <w:bookmarkStart w:id="9" w:name="bookmark=id.2grqrue" w:colFirst="0" w:colLast="0"/>
      <w:bookmarkEnd w:id="9"/>
      <w:r>
        <w:rPr>
          <w:color w:val="000000"/>
        </w:rPr>
        <w:t xml:space="preserve"> V) inserção em regime de semiliberdade;</w:t>
      </w:r>
      <w:bookmarkStart w:id="10" w:name="bookmark=id.vx1227" w:colFirst="0" w:colLast="0"/>
      <w:bookmarkEnd w:id="10"/>
      <w:r>
        <w:rPr>
          <w:color w:val="000000"/>
        </w:rPr>
        <w:t xml:space="preserve"> VI - internação em estabelecimento educacional. </w:t>
      </w:r>
    </w:p>
    <w:p w14:paraId="6B8FE7AD" w14:textId="77777777" w:rsidR="00C33A41" w:rsidRDefault="007B3952">
      <w:pPr>
        <w:pBdr>
          <w:top w:val="nil"/>
          <w:left w:val="nil"/>
          <w:bottom w:val="nil"/>
          <w:right w:val="nil"/>
          <w:between w:val="nil"/>
        </w:pBdr>
        <w:ind w:firstLine="708"/>
        <w:rPr>
          <w:color w:val="000000"/>
        </w:rPr>
      </w:pPr>
      <w:r>
        <w:rPr>
          <w:color w:val="000000"/>
        </w:rPr>
        <w:t xml:space="preserve">No caso da internação em estabelecimento educacional, o </w:t>
      </w:r>
      <w:r>
        <w:t>Art. 121 do ECA (</w:t>
      </w:r>
      <w:r>
        <w:rPr>
          <w:color w:val="000000"/>
        </w:rPr>
        <w:t xml:space="preserve">Lei 8.069, 1990) determina que se configura como uma medida de privação da liberdade e deve seguir princípios de brevidade, excepcionalidade e respeito à condição de desenvolvimento do adolescente. Ainda de acordo com o artigo, essa medida precisa ter um prazo determinado e sua manutenção deve ser revista a cada seis meses, sendo que, sob nenhuma justificativa, seu período se estenda além de três anos. Além disso, só poderá ser aplicada quando o adolescente tiver cometido </w:t>
      </w:r>
      <w:r>
        <w:rPr>
          <w:color w:val="000000"/>
          <w:highlight w:val="white"/>
        </w:rPr>
        <w:t>ato infracional mediante grave ameaça ou violência à pessoa, por reiteração (reincidência) no cometimento de outras infrações graves ou por descumprimento de medidas anteriores</w:t>
      </w:r>
      <w:r>
        <w:rPr>
          <w:color w:val="000000"/>
        </w:rPr>
        <w:t xml:space="preserve"> (Lei 8.069, 1990). </w:t>
      </w:r>
    </w:p>
    <w:p w14:paraId="0AB7CB17" w14:textId="77777777" w:rsidR="00C33A41" w:rsidRDefault="007B3952">
      <w:pPr>
        <w:ind w:firstLine="708"/>
      </w:pPr>
      <w:r>
        <w:t xml:space="preserve">As primeiras preocupações voltadas a esse contexto de vulnerabilidade juvenil foram com relação às formas de manter a aplicação das diferentes MSE durante o período mais acentuado da pandemia. A Recomendação Conjunta Nº 1 (2020), do Conselho Nacional de Justiça, estabeleceu indicações à comunidade socioeducativa sobre os cuidados que deveriam ser tomados em todo o território brasileiro para o contingenciamento da transmissão do Covid-19. No que se refere a medida de internação, </w:t>
      </w:r>
      <w:r>
        <w:lastRenderedPageBreak/>
        <w:t xml:space="preserve">diversas recomendações foram determinadas, sendo as principais relacionadas a aspectos como: </w:t>
      </w:r>
    </w:p>
    <w:p w14:paraId="47F6F2C5" w14:textId="77777777" w:rsidR="00C33A41" w:rsidRDefault="007B3952">
      <w:pPr>
        <w:numPr>
          <w:ilvl w:val="0"/>
          <w:numId w:val="10"/>
        </w:numPr>
        <w:pBdr>
          <w:top w:val="nil"/>
          <w:left w:val="nil"/>
          <w:bottom w:val="nil"/>
          <w:right w:val="nil"/>
          <w:between w:val="nil"/>
        </w:pBdr>
        <w:rPr>
          <w:color w:val="000000"/>
        </w:rPr>
      </w:pPr>
      <w:r>
        <w:rPr>
          <w:color w:val="000000"/>
        </w:rPr>
        <w:t xml:space="preserve">Disponibilização de recursos tecnológicos (chamadas telefônicas, vídeo chamadas, uso de aplicativos) para garantir o contato dos adolescentes com os seus familiares e com os órgãos de justiça; </w:t>
      </w:r>
    </w:p>
    <w:p w14:paraId="67CC38FE" w14:textId="77777777" w:rsidR="00C33A41" w:rsidRDefault="007B3952">
      <w:pPr>
        <w:numPr>
          <w:ilvl w:val="0"/>
          <w:numId w:val="10"/>
        </w:numPr>
        <w:pBdr>
          <w:top w:val="nil"/>
          <w:left w:val="nil"/>
          <w:bottom w:val="nil"/>
          <w:right w:val="nil"/>
          <w:between w:val="nil"/>
        </w:pBdr>
        <w:rPr>
          <w:color w:val="000000"/>
        </w:rPr>
      </w:pPr>
      <w:r>
        <w:rPr>
          <w:color w:val="000000"/>
        </w:rPr>
        <w:t xml:space="preserve">Aquisição e disponibilização de insumos de saúde e equipamentos de proteção; </w:t>
      </w:r>
    </w:p>
    <w:p w14:paraId="20B368C7" w14:textId="77777777" w:rsidR="00C33A41" w:rsidRDefault="007B3952">
      <w:pPr>
        <w:numPr>
          <w:ilvl w:val="0"/>
          <w:numId w:val="10"/>
        </w:numPr>
        <w:pBdr>
          <w:top w:val="nil"/>
          <w:left w:val="nil"/>
          <w:bottom w:val="nil"/>
          <w:right w:val="nil"/>
          <w:between w:val="nil"/>
        </w:pBdr>
        <w:rPr>
          <w:color w:val="000000"/>
        </w:rPr>
      </w:pPr>
      <w:r>
        <w:rPr>
          <w:color w:val="000000"/>
        </w:rPr>
        <w:t xml:space="preserve">Oferecimento de orientações para uso de máscaras, higiene das mãos e limpeza constante dos espaços; </w:t>
      </w:r>
    </w:p>
    <w:p w14:paraId="1DC7617A" w14:textId="77777777" w:rsidR="00C33A41" w:rsidRDefault="007B3952">
      <w:pPr>
        <w:numPr>
          <w:ilvl w:val="0"/>
          <w:numId w:val="10"/>
        </w:numPr>
        <w:pBdr>
          <w:top w:val="nil"/>
          <w:left w:val="nil"/>
          <w:bottom w:val="nil"/>
          <w:right w:val="nil"/>
          <w:between w:val="nil"/>
        </w:pBdr>
        <w:rPr>
          <w:color w:val="000000"/>
        </w:rPr>
      </w:pPr>
      <w:r>
        <w:rPr>
          <w:color w:val="000000"/>
        </w:rPr>
        <w:t>Comunicação imediata ao juizado de casos de adolescentes contaminados com Covid-19 para reavaliação e possível substituição da internação por medidas não privativas de liberdade;</w:t>
      </w:r>
    </w:p>
    <w:p w14:paraId="04F34E3B" w14:textId="77777777" w:rsidR="00C33A41" w:rsidRDefault="007B3952">
      <w:pPr>
        <w:numPr>
          <w:ilvl w:val="0"/>
          <w:numId w:val="10"/>
        </w:numPr>
        <w:pBdr>
          <w:top w:val="nil"/>
          <w:left w:val="nil"/>
          <w:bottom w:val="nil"/>
          <w:right w:val="nil"/>
          <w:between w:val="nil"/>
        </w:pBdr>
        <w:rPr>
          <w:color w:val="000000"/>
        </w:rPr>
      </w:pPr>
      <w:r>
        <w:rPr>
          <w:color w:val="000000"/>
        </w:rPr>
        <w:t>Aplicação de isolamento de adolescentes com suspeita ou confirmação da contaminação e disponibilização de espaço separado para acolhimento para os recém admitidos nas instituições, por um prazo de 14 dias.</w:t>
      </w:r>
    </w:p>
    <w:p w14:paraId="050CD6CC" w14:textId="77777777" w:rsidR="00C33A41" w:rsidRDefault="007B3952">
      <w:pPr>
        <w:ind w:firstLine="360"/>
      </w:pPr>
      <w:r>
        <w:t xml:space="preserve">A recomendação supracitada também trouxe orientações para as equipes técnicas e gestão das instituições que aplicam as diferentes MSE no país e, até abril de 2023, encontrava-se ainda em vigência pelo Conselho de Justiça (Recomendação Conjunta Nº 1, 2020). </w:t>
      </w:r>
    </w:p>
    <w:p w14:paraId="58990DC6" w14:textId="77777777" w:rsidR="00C33A41" w:rsidRDefault="007B3952">
      <w:pPr>
        <w:ind w:firstLine="720"/>
      </w:pPr>
      <w:r>
        <w:t>Entretanto, mesmo com recomendações dos órgãos competentes, a pandemia demandou uma atenção maior para a realidade dos adolescentes privados de liberdade, pois questionou-se a capacidade de garantir a efetivação dos direitos previstos pelo ECA durante o cumprimento da medida. Isso acontece porque o contexto socioeducativo de internação já apresentava problemas estruturais que eram invisibilizados e que poderiam se acentuar com as consequências da pandemia (</w:t>
      </w:r>
      <w:proofErr w:type="spellStart"/>
      <w:r>
        <w:t>Sposato</w:t>
      </w:r>
      <w:proofErr w:type="spellEnd"/>
      <w:r>
        <w:t xml:space="preserve"> &amp; Moitinho, 2021).</w:t>
      </w:r>
    </w:p>
    <w:p w14:paraId="02B25194" w14:textId="77777777" w:rsidR="00C33A41" w:rsidRDefault="007B3952">
      <w:pPr>
        <w:ind w:firstLine="720"/>
      </w:pPr>
      <w:r>
        <w:lastRenderedPageBreak/>
        <w:t xml:space="preserve">Entre as principais violações presentes nas instituições de internação estão abusos e maus-tratos, violências psicológicas, superlotação, negligência, entre outros (Costa et al., 2022). Dados do Fórum Brasileiro de Segurança Pública (2022) demonstraram uma queda nos indicadores de superlotação. Entre 2018 e 2021 houve uma queda de, aproximadamente, 45% na taxa de medidas de internação em 26 unidades federativas do país, sendo que apenas o Rio Grande do Norte apresentou crescimento. </w:t>
      </w:r>
    </w:p>
    <w:p w14:paraId="0DF05CC8" w14:textId="77777777" w:rsidR="00C33A41" w:rsidRDefault="007B3952">
      <w:pPr>
        <w:ind w:firstLine="720"/>
      </w:pPr>
      <w:r>
        <w:t>Uma das explicações para esses dados foi justamente as resoluções do Conselho Nacional de Justiça devido a pandemia, como a Recomendação Conjunta nº 1 (2020) e também a Recomendação nº 62 (2020), que estabeleceu que medidas de internação devem ser revistas em casos de (i) gestantes, lactantes, mães ou responsáveis por criança de até doze anos de idade ou por pessoa com deficiência; (ii) internados provisoriamente em unidades socioeducativas com ocupação superior à capacidade; (iii) internados em unidades socioeducativas que não dispunham de equipe de saúde ou de instalações que favorecessem a propagação do novo coronavírus; (iv) internados pela prática de atos infracionais praticados sem violência ou grave ameaça à pessoa (Recomendação nº 62, 2020).</w:t>
      </w:r>
    </w:p>
    <w:p w14:paraId="5924191B" w14:textId="77777777" w:rsidR="00C33A41" w:rsidRDefault="007B3952">
      <w:pPr>
        <w:ind w:firstLine="708"/>
      </w:pPr>
      <w:r>
        <w:t>Ainda de acordo com dados do Conselho Nacional do Ministério Público (2023), os índices de ocupação das unidades socioeducativas de internação encontram-se, em praticamente todas as macrorregiões do país, entre 40% e 50%. Esse número se difere somente no Sudeste, cuja taxa de ocupação é de, aproximadamente, 74%. Apesar disso, os adolescentes privados de liberdade ainda são considerados mais vulneráveis à contaminação pelo Covid-19, além de possuírem mais riscos psicossociais e de saúde mental devido a vulnerabilidades sociodemográficas e econômicas já existentes (Fundo das Nações Unidas para a Infância [UNICEF], 2020a).</w:t>
      </w:r>
    </w:p>
    <w:p w14:paraId="58E41758" w14:textId="77777777" w:rsidR="00C33A41" w:rsidRDefault="007B3952">
      <w:pPr>
        <w:ind w:firstLine="708"/>
      </w:pPr>
      <w:r>
        <w:lastRenderedPageBreak/>
        <w:t>Vinuto et al. (2021), ao realizar uma análise sobre as MSE no estado do Rio de Janeiro, pontua que, entre as modalidades socioeducativas previstas pelo SINASE, a de privação de liberdade foi praticamente a única que se manteve em continuidade durante o período pandêmico. Entretanto, questiona-se a manutenção da privação de liberdade como serviço essencial, sendo que o próprio SINASE indica a excepcionalidade da medida, além da Conselho Nacional de Justiça determinar diversas recomendações reforçando o uso de outras opções socioeducativas durante a pandemia para evitar o encarceramento e aumento do risco de contágio dos adolescentes. Segundo as autoras, esse movimento pode ser explicado devido ao pânico social presente no Brasil relacionado a um discurso de periculosidade dos adolescentes apreendidos (Hernández, 2018;</w:t>
      </w:r>
      <w:r>
        <w:rPr>
          <w:color w:val="FF0000"/>
        </w:rPr>
        <w:t xml:space="preserve"> </w:t>
      </w:r>
      <w:r>
        <w:t xml:space="preserve">Vinuto et al., 2021) </w:t>
      </w:r>
    </w:p>
    <w:p w14:paraId="41607272" w14:textId="77777777" w:rsidR="00C33A41" w:rsidRDefault="007B3952">
      <w:pPr>
        <w:ind w:firstLine="708"/>
        <w:rPr>
          <w:b/>
        </w:rPr>
      </w:pPr>
      <w:r>
        <w:t xml:space="preserve">Para além do contexto institucional, é importante ressaltar que, nos primeiros meses de pandemia, as preocupações com a população juvenil se voltaram, quase que integralmente, para a saúde mental, resultando em recomendações sobre como manter o bem-estar emocional durante esse período (UNICEF, 2021). Entretanto, foram negligenciados outros determinantes da realidade dos adolescentes, principalmente daqueles que já vivenciavam exposições a múltiplas vulnerabilidades </w:t>
      </w:r>
      <w:r>
        <w:rPr>
          <w:b/>
        </w:rPr>
        <w:t>(</w:t>
      </w:r>
      <w:proofErr w:type="spellStart"/>
      <w:r>
        <w:rPr>
          <w:color w:val="000000"/>
        </w:rPr>
        <w:t>Banati</w:t>
      </w:r>
      <w:proofErr w:type="spellEnd"/>
      <w:r>
        <w:rPr>
          <w:color w:val="000000"/>
        </w:rPr>
        <w:t xml:space="preserve"> et al., 2020). A pobreza, o abandono, as experiências de violência e conflitos, associados </w:t>
      </w:r>
      <w:r>
        <w:t>à ausência</w:t>
      </w:r>
      <w:r>
        <w:rPr>
          <w:color w:val="000000"/>
        </w:rPr>
        <w:t xml:space="preserve"> de um sistema de saúde, educação e proteção já constituíam a realidade de muitos adolescentes brasileiros. Levanta-se como hipótese desta investigação que a pandemia e seus efeitos intensificaram ainda mais a realidade nevrálgica desta população, </w:t>
      </w:r>
      <w:r>
        <w:t>especialmente de adolescentes que geralmente vão para o sistema socioeducativo em meio fechado.</w:t>
      </w:r>
    </w:p>
    <w:p w14:paraId="2C135356" w14:textId="77777777" w:rsidR="00C33A41" w:rsidRDefault="007B3952">
      <w:pPr>
        <w:ind w:firstLine="708"/>
      </w:pPr>
      <w:bookmarkStart w:id="11" w:name="_heading=h.3dy6vkm" w:colFirst="0" w:colLast="0"/>
      <w:bookmarkEnd w:id="11"/>
      <w:r>
        <w:t xml:space="preserve">Um exemplo das repercussões da pandemia foi o afastamento de adolescentes e jovens do ambiente escolar. Um levantamento feito pelo UNICEF (2020b) identificou </w:t>
      </w:r>
      <w:r>
        <w:lastRenderedPageBreak/>
        <w:t xml:space="preserve">que mais de 168 milhões de crianças e adolescentes em todo o mundo estiveram fora das escolas no último ano. Na América Latina a situação é ainda mais grave, visto que mais de 97% dos estudantes ficaram fora das salas de aula e já perderam, em média, quatro vezes mais dias letivos do que o restante do mundo. No Brasil, considerando a realidade de desigualdade social abismal, os impactos podem ser ainda maiores. </w:t>
      </w:r>
    </w:p>
    <w:p w14:paraId="7C70CE80" w14:textId="77777777" w:rsidR="00C33A41" w:rsidRDefault="007B3952">
      <w:pPr>
        <w:ind w:firstLine="708"/>
      </w:pPr>
      <w:r>
        <w:t>No que se refere aos adolescentes em privação de liberdade, o ECA (</w:t>
      </w:r>
      <w:r>
        <w:rPr>
          <w:color w:val="000000"/>
        </w:rPr>
        <w:t>Lei 8.069, 1990</w:t>
      </w:r>
      <w:r>
        <w:t xml:space="preserve">) prevê o processo de escolarização como uma obrigatoriedade durante o cumprimento de medidas socioeducativas. O SINASE (Lei nº 12.594, 2012) também preconiza que a educação deve ser um eixo de trabalho em todas as instituições de execução das medidas, de forma a garantir a reinserção e a permanência dos adolescentes na rede formal de ensino. Entretanto, novamente a preocupação sobre como garantir o pleno funcionamento educacional dentro desses ambientes, considerando a realidade da pandemia, visto que a mesma instaurou uma nova realidade aos modelos educacionais. Algumas instituições, como o Centro de Socioeducação (CENSE) do estado do Paraná, conseguiram realizar adaptações para a continuação das atividades escolares dos internos, porém, ainda foi necessários a redução de aulas (França et al., 2022), o que pode acentuar dificuldades educacionais que jovens em conflito com a lei já tendem a apresentar. </w:t>
      </w:r>
    </w:p>
    <w:p w14:paraId="0EAEF08D" w14:textId="77777777" w:rsidR="00C33A41" w:rsidRDefault="007B3952">
      <w:pPr>
        <w:ind w:firstLine="708"/>
      </w:pPr>
      <w:r>
        <w:t xml:space="preserve">Dessa forma, a pandemia pode ter causado um impacto significativo na saúde física e mental de adolescentes em todo o mundo, mas também pode ter interferido no processo global de desenvolvimento dessa população e no seu processo de socialização. No início da pandemia estudos indicavam que crianças e adolescentes apresentavam poucos casos de agravamento decorridos da contaminação por Covid e a taxa de mortalidade era baixa, quando comparadas com outros grupos etários (Dong et al, 2020; </w:t>
      </w:r>
      <w:proofErr w:type="spellStart"/>
      <w:r>
        <w:t>Viner</w:t>
      </w:r>
      <w:proofErr w:type="spellEnd"/>
      <w:r>
        <w:t xml:space="preserve"> et al., 2021). Entretanto, como supracitado, o contexto desencadeado pela pandemia pode ser responsável também por impactos negativos em outras áreas da vida dessa </w:t>
      </w:r>
      <w:r>
        <w:lastRenderedPageBreak/>
        <w:t>população, principalmente daqueles que vivem em situação de vulnerabilidade, devido ao risco de acentuação e combinação de fatores de risco pessoais e sociais.</w:t>
      </w:r>
    </w:p>
    <w:p w14:paraId="684F01D9" w14:textId="77777777" w:rsidR="00C33A41" w:rsidRDefault="007B3952">
      <w:pPr>
        <w:ind w:firstLine="708"/>
      </w:pPr>
      <w:r>
        <w:t>É preciso ressaltar que, no caso do Brasil, ainda foi vivenciado durante a pandemia diversas transgressões da administração pública frente ao controle dos impactos causados. As políticas públicas voltadas para a contenção do vírus pelo país foram postergadas e não obtiveram investimentos rápidos por parte do governo federal (Paixão et al., 2020). O próprio presidente da república, na época em exercício, proferiu inúmeros discursos negacionistas e se posicionou contrário a medidas de contenção preconizadas pelos órgãos mundiais de saúde. O foco do governo brasileiro durante toda a pandemia foram as atividades econômicas e o estímulo para que o mercado continuasse acelerado, ignorando as interferências sociais do contexto pandêmico na vida da população (Fonseca &amp; Silva, 2020).</w:t>
      </w:r>
    </w:p>
    <w:p w14:paraId="3A06DD9D" w14:textId="77777777" w:rsidR="00C33A41" w:rsidRDefault="007B3952">
      <w:pPr>
        <w:ind w:firstLine="708"/>
      </w:pPr>
      <w:r>
        <w:t xml:space="preserve">O reflexo do direcionamento do governo pode ser reconhecido com dados divulgados durante o período de pandemia, em que o Brasil, mesmo sendo uma das maiores economias do mundo, ocupou por diversos meses os primeiros lugares no mapa da Covid-19 no que se refere ao número de pessoas contaminadas. De acordo com Paixão et al. (2020), isso é resultado da disparidade e das assimetrias no atendimento e no investimento em medidas de proteção da população mais pobre e vulnerável. </w:t>
      </w:r>
    </w:p>
    <w:p w14:paraId="3470AC93" w14:textId="77777777" w:rsidR="00C33A41" w:rsidRDefault="007B3952">
      <w:pPr>
        <w:ind w:firstLine="708"/>
      </w:pPr>
      <w:r>
        <w:t xml:space="preserve">Nesse sentido, Vinuto (2020) pontuou que o governo federal trabalhou de forma ativa no silenciamento de questões como a grave realidade de populações privadas de liberdade durante a pandemia, entre elas os adolescentes dentro do sistema de internação e privação de liberdade. Ainda de acordo com o autor, mesmo com as recomendações dos sistemas de justiça, os centros de internação pelo país apresentavam condições insalubres, estruturas deterioradas, falta de equipamentos de proteção (ex.: máscaras, luvas e álcool </w:t>
      </w:r>
      <w:r>
        <w:lastRenderedPageBreak/>
        <w:t>em gel), o que demonstrou a falta de preocupação e, principalmente, de investimento público e governamental com essa população (Vinuto, 2020).</w:t>
      </w:r>
    </w:p>
    <w:p w14:paraId="61994364" w14:textId="77777777" w:rsidR="00C33A41" w:rsidRDefault="007B3952">
      <w:pPr>
        <w:ind w:firstLine="708"/>
      </w:pPr>
      <w:r>
        <w:t xml:space="preserve">Ainda no que se refere aos posicionamentos do governo em vigência nos primeiros anos da pandemia e seus reflexos dentro do sistema de internação, Vinuto (2020) sublinhou a fala de um profissional que se referia a resistência de parte da equipe em usar equipamentos de segurança dentro das unidades. De acordo com o autor, profissionais se negavam a usar os equipamentos devido a “fé no Messias [se referindo ao ex-presidente Jair Bolsonaro] que creem mesmo que isso é só uma gripezinha”, ou seja, uma clara demonstração da influência dos discursos governamentais sobre os comportamentos de profissionais (Vinuto, 2020, p. 4). </w:t>
      </w:r>
    </w:p>
    <w:p w14:paraId="4FBB31D0" w14:textId="77777777" w:rsidR="00C33A41" w:rsidRDefault="007B3952">
      <w:pPr>
        <w:ind w:firstLine="708"/>
        <w:rPr>
          <w:color w:val="FF0000"/>
        </w:rPr>
      </w:pPr>
      <w:r>
        <w:t xml:space="preserve">Portanto, o posicionamento do governo brasileiro, que contribuiu diretamente na acentuação da crise sanitária e econômica desencadeada pela pandemia, apresenta dimensões da biopolítica. Isto porque o sistema capitalista estabelece uma racionalidade econômica como princípio básico de análise de todas as demais áreas do desenvolvimento humano (Foucault, 2008). Dessa forma, a pandemia encontrou um espaço profícuo em contextos sociais pautados no consumo e no capital, aumentando ainda mais as desigualdades e sobrepondo os interesses econômicos em detrimento do bem-estar social comum a toda população. Ou seja, o contexto pandêmico potencializou diferenças já existentes entre classe, raça e gênero, visto que determinados grupos, dentro de um sistema capitalista e sem suporte social, encontram-se em altos níveis de risco de exposição sanitária e sociais (Paixão et al., 2020). </w:t>
      </w:r>
    </w:p>
    <w:p w14:paraId="5B72D446" w14:textId="77777777" w:rsidR="00C33A41" w:rsidRDefault="007B3952">
      <w:bookmarkStart w:id="12" w:name="_heading=h.4d34og8" w:colFirst="0" w:colLast="0"/>
      <w:bookmarkEnd w:id="12"/>
      <w:r>
        <w:tab/>
        <w:t xml:space="preserve">A Organização para a Economia e Cooperação e Desenvolvimento [OECD], 2020) tem debatido sobre a necessidade de os governos elaborarem medidas urgentes para oferecer suporte e proteção para adolescentes e jovens. Essas estratégias precisam ser abrangentes, pois os adolescentes em situação de risco e vulnerabilidades sociais podem </w:t>
      </w:r>
      <w:r>
        <w:lastRenderedPageBreak/>
        <w:t>apresentar demandas em diversas frentes, como sofrimento psicológico ocasionado pelo isolamento social, a perda de perspectivas futuras e inserções profissionais, aumento de dívidas pessoais e familiares, entre outros (OECD, 2020).</w:t>
      </w:r>
    </w:p>
    <w:p w14:paraId="5F4667DB" w14:textId="77777777" w:rsidR="00C33A41" w:rsidRDefault="007B3952">
      <w:r>
        <w:rPr>
          <w:color w:val="FF0000"/>
        </w:rPr>
        <w:tab/>
      </w:r>
      <w:r>
        <w:t>O documento supracitado da OECD (2020) também reforça a necessidade de se considerar as intersecções das identidades dos adolescentes, considerando os fatores que acentuam as vulnerabilidades vivenciadas (gênero, raça, deficiências, níveis socioeconômicos). Além de se considerar também especificidades vivenciais como estar em situação de rua ou ainda vindo de famílias de migrantes, entre outros. Portanto, cabe aos governos e às políticas públicas o desenvolvimento de medidas mitigatórias e de recuperação dentro dos diferentes coortes juvenis para evitar a acentuação das vulnerabilidades diante da pandemia (OECD, 2020).</w:t>
      </w:r>
    </w:p>
    <w:p w14:paraId="2B0B2203" w14:textId="77777777" w:rsidR="00C33A41" w:rsidRDefault="007B3952">
      <w:pPr>
        <w:rPr>
          <w:rFonts w:ascii="Calibri" w:hAnsi="Calibri"/>
          <w:sz w:val="22"/>
          <w:szCs w:val="22"/>
        </w:rPr>
      </w:pPr>
      <w:r>
        <w:rPr>
          <w:color w:val="FF0000"/>
        </w:rPr>
        <w:tab/>
      </w:r>
      <w:r>
        <w:t>De acordo com a Unicef (2021) e outros órgãos</w:t>
      </w:r>
      <w:r>
        <w:rPr>
          <w:rFonts w:ascii="Calibri" w:hAnsi="Calibri"/>
          <w:sz w:val="22"/>
          <w:szCs w:val="22"/>
        </w:rPr>
        <w:t xml:space="preserve"> </w:t>
      </w:r>
      <w:r>
        <w:t>internacionais de direitos humanos sobre justiça juvenil e crianças e adolescentes em privação de liberdade (</w:t>
      </w:r>
      <w:r>
        <w:rPr>
          <w:i/>
        </w:rPr>
        <w:t xml:space="preserve">WHO COVID-19 </w:t>
      </w:r>
      <w:proofErr w:type="spellStart"/>
      <w:r>
        <w:rPr>
          <w:i/>
        </w:rPr>
        <w:t>Detention</w:t>
      </w:r>
      <w:proofErr w:type="spellEnd"/>
      <w:r>
        <w:rPr>
          <w:i/>
        </w:rPr>
        <w:t xml:space="preserve"> </w:t>
      </w:r>
      <w:proofErr w:type="spellStart"/>
      <w:r>
        <w:rPr>
          <w:i/>
        </w:rPr>
        <w:t>Guidelines</w:t>
      </w:r>
      <w:proofErr w:type="spellEnd"/>
      <w:r>
        <w:t xml:space="preserve">; </w:t>
      </w:r>
      <w:r>
        <w:rPr>
          <w:i/>
        </w:rPr>
        <w:t xml:space="preserve">IASC Interim </w:t>
      </w:r>
      <w:proofErr w:type="spellStart"/>
      <w:r>
        <w:rPr>
          <w:i/>
        </w:rPr>
        <w:t>Guidance</w:t>
      </w:r>
      <w:proofErr w:type="spellEnd"/>
      <w:r>
        <w:rPr>
          <w:i/>
        </w:rPr>
        <w:t xml:space="preserve">; 2019 </w:t>
      </w:r>
      <w:proofErr w:type="spellStart"/>
      <w:r>
        <w:rPr>
          <w:i/>
        </w:rPr>
        <w:t>edition</w:t>
      </w:r>
      <w:proofErr w:type="spellEnd"/>
      <w:r>
        <w:rPr>
          <w:i/>
        </w:rPr>
        <w:t xml:space="preserve"> CPMS </w:t>
      </w:r>
      <w:proofErr w:type="spellStart"/>
      <w:r>
        <w:rPr>
          <w:i/>
        </w:rPr>
        <w:t>Guidelines</w:t>
      </w:r>
      <w:proofErr w:type="spellEnd"/>
      <w:r>
        <w:rPr>
          <w:i/>
        </w:rPr>
        <w:t>)</w:t>
      </w:r>
      <w:r>
        <w:rPr>
          <w:rFonts w:ascii="Calibri" w:hAnsi="Calibri"/>
          <w:i/>
          <w:sz w:val="22"/>
          <w:szCs w:val="22"/>
        </w:rPr>
        <w:t xml:space="preserve">, </w:t>
      </w:r>
      <w:r>
        <w:t xml:space="preserve">algumas recomendações deveriam ser seguidas por todos os países com a população juvenil em medidas de internação. Entre elas, destaca-se a liberação em casos de atos não violentos ou adolescentes que apresentem condições de saúde pré-existentes, além da não aplicação de medidas para adolescentes em internação provisória. Além disso, os Estados devem garantir apoio às famílias para a reintegração desses adolescentes de forma segura, incluindo encaminhamentos para serviços de saúde mental, psicossocial, educacional e preventivos de violências (Unicef, 2021). Por fim, todo o cuidado com os adolescentes deveria seguir as recomendações das Diretrizes de Detenção COVID-19 da OMS e nas Diretrizes Interinas da IASC para prevenção, contenção, gerenciamento e tratamento adequado do vírus. Entretanto, tais cuidados não foram adotados por todos os países, incluindo no Brasil. </w:t>
      </w:r>
    </w:p>
    <w:p w14:paraId="6524A4AE" w14:textId="77777777" w:rsidR="00C33A41" w:rsidRDefault="00C33A41">
      <w:pPr>
        <w:rPr>
          <w:color w:val="FF0000"/>
        </w:rPr>
      </w:pPr>
    </w:p>
    <w:p w14:paraId="49CE8E03" w14:textId="77777777" w:rsidR="00C33A41" w:rsidRDefault="007B3952">
      <w:pPr>
        <w:pStyle w:val="Ttulo2"/>
      </w:pPr>
      <w:bookmarkStart w:id="13" w:name="_heading=h.lnxbz9" w:colFirst="0" w:colLast="0"/>
      <w:bookmarkEnd w:id="13"/>
      <w:r>
        <w:t>1.3 Contribuições da Teoria Bioecológica do Desenvolvimento Humano (TBDH) para Compreensão do Contexto Pandêmico</w:t>
      </w:r>
    </w:p>
    <w:p w14:paraId="142AEB06" w14:textId="77777777" w:rsidR="00C33A41" w:rsidRDefault="007B3952">
      <w:pPr>
        <w:ind w:firstLine="708"/>
      </w:pPr>
      <w:r>
        <w:t>A Teoria Bioecológica do   Desenvolvimento   Humano de Bronfenbrenner - TBDH possibilita a análise do impacto multinível que a pandemia pode ter na vida da população juvenil mais vulnerável. Esta teoria focaliza o desenvolvimento do indivíduo, do ambiente e, principalmente, do envolvimento interativo entre ambos (Bronfenbrenner, 2011). Para tanto, compreende o desenvolvimento a partir da interrelação entre quatro aspectos: o Processo, a Pessoa, o Contexto e o Tempo (Modelo PPCT). Dessa forma, preconiza-se que o foco de análise do desenvolvimento deve ser no indivíduo e nas interações estabelecidas entre ele e o contexto, considerando as disposições temporais (</w:t>
      </w:r>
      <w:proofErr w:type="spellStart"/>
      <w:r>
        <w:t>Poletto</w:t>
      </w:r>
      <w:proofErr w:type="spellEnd"/>
      <w:r>
        <w:t xml:space="preserve"> &amp; </w:t>
      </w:r>
      <w:proofErr w:type="spellStart"/>
      <w:r>
        <w:t>Koller</w:t>
      </w:r>
      <w:proofErr w:type="spellEnd"/>
      <w:r>
        <w:t>, 2008).</w:t>
      </w:r>
    </w:p>
    <w:p w14:paraId="4D87082A" w14:textId="77777777" w:rsidR="00C33A41" w:rsidRDefault="007B3952">
      <w:pPr>
        <w:ind w:firstLine="708"/>
      </w:pPr>
      <w:r>
        <w:t xml:space="preserve">No que se refere à </w:t>
      </w:r>
      <w:r>
        <w:rPr>
          <w:b/>
        </w:rPr>
        <w:t>Pessoa</w:t>
      </w:r>
      <w:r>
        <w:t xml:space="preserve">, a TBDH indica se referir ao repertório individual dos sujeitos, considerando suas características biológicas, cognitivas, emocionais e comportamentais (Bronfenbrenner, 1977). Relacionados à concepção de </w:t>
      </w:r>
      <w:r>
        <w:rPr>
          <w:i/>
        </w:rPr>
        <w:t>Pessoa</w:t>
      </w:r>
      <w:r>
        <w:t xml:space="preserve">, a teoria preconiza três conceitos principais, sendo eles a demanda, os recursos e a diversidade. A primeira é denominada de </w:t>
      </w:r>
      <w:r>
        <w:rPr>
          <w:i/>
        </w:rPr>
        <w:t>demanda</w:t>
      </w:r>
      <w:r>
        <w:t xml:space="preserve"> e corresponde a um estímulo imediato para outras pessoas (ex.: idade, gênero, cor de pele, aspectos físicos, entre outros). A segunda característica é o </w:t>
      </w:r>
      <w:r>
        <w:rPr>
          <w:i/>
        </w:rPr>
        <w:t>recurso</w:t>
      </w:r>
      <w:r>
        <w:t xml:space="preserve">, que não são fatores imediatos tão evidentes, mas estão relacionados a recursos cognitivos e emocionais (ex.: habilidades, inteligência, vivências, entre outros) e recursos sociais e materiais (ex.: acesso à moradia e educação, cuidados parentais adequados, entre outros). E, por fim, a terceira característica relaciona-se à </w:t>
      </w:r>
      <w:r>
        <w:rPr>
          <w:i/>
        </w:rPr>
        <w:t>diversidade</w:t>
      </w:r>
      <w:r>
        <w:t xml:space="preserve"> de temperamento, motivação, entre outros (</w:t>
      </w:r>
      <w:proofErr w:type="spellStart"/>
      <w:r>
        <w:t>Tudge</w:t>
      </w:r>
      <w:proofErr w:type="spellEnd"/>
      <w:r>
        <w:t>, 2012).</w:t>
      </w:r>
    </w:p>
    <w:p w14:paraId="50511BEF" w14:textId="77777777" w:rsidR="00C33A41" w:rsidRDefault="007B3952">
      <w:pPr>
        <w:rPr>
          <w:color w:val="FF0000"/>
        </w:rPr>
      </w:pPr>
      <w:r>
        <w:rPr>
          <w:color w:val="FF0000"/>
        </w:rPr>
        <w:tab/>
      </w:r>
      <w:r>
        <w:t xml:space="preserve">Estudos têm indicado que a pandemia não impactou toda a população de forma igualitária; ao contrário, alguns grupos estavam muito mais expostos aos riscos sanitários </w:t>
      </w:r>
      <w:r>
        <w:lastRenderedPageBreak/>
        <w:t xml:space="preserve">e sociais (Melo &amp; Cabral, 2020; Pinto &amp; Cerqueira, 2020; Werneck &amp; Carvalho, 2020). Alguns dos fatores que acentuam essas assimetrias durante a pandemia podem ser analisados como sendo características da </w:t>
      </w:r>
      <w:r>
        <w:rPr>
          <w:i/>
        </w:rPr>
        <w:t>Pessoa</w:t>
      </w:r>
      <w:r>
        <w:t xml:space="preserve">. Em um país estruturalmente racista e economicamente desigual, grande parte da população acaba não tendo disponível, por exemplo, recursos sociais e materiais. E um grande contingente dessas pessoas são mulheres e pessoas negras, o que evidencia o quanto a característica de </w:t>
      </w:r>
      <w:r>
        <w:rPr>
          <w:i/>
        </w:rPr>
        <w:t>demanda</w:t>
      </w:r>
      <w:r>
        <w:t xml:space="preserve">, em um país como o Brasil, influencia diretamente nos desdobramentos da pandemia. </w:t>
      </w:r>
    </w:p>
    <w:p w14:paraId="52A97026" w14:textId="3BD4F4B5" w:rsidR="00C33A41" w:rsidRDefault="007B3952">
      <w:pPr>
        <w:ind w:firstLine="708"/>
      </w:pPr>
      <w:r>
        <w:t xml:space="preserve">Já no que corresponde ao </w:t>
      </w:r>
      <w:r>
        <w:rPr>
          <w:b/>
        </w:rPr>
        <w:t>Contexto</w:t>
      </w:r>
      <w:r>
        <w:t>, considera</w:t>
      </w:r>
      <w:r w:rsidR="00D81E48">
        <w:t>-</w:t>
      </w:r>
      <w:r>
        <w:t xml:space="preserve">se que o ambiente ecológico é constituído por quatro sistemas inter-relacionados, a saber: </w:t>
      </w:r>
      <w:r>
        <w:rPr>
          <w:i/>
        </w:rPr>
        <w:t>microssistema</w:t>
      </w:r>
      <w:r>
        <w:t xml:space="preserve"> (família, grupo de amigos, escola); </w:t>
      </w:r>
      <w:r>
        <w:rPr>
          <w:i/>
        </w:rPr>
        <w:t>mesossistema</w:t>
      </w:r>
      <w:r>
        <w:t xml:space="preserve"> (inter-relação entre os microssistemas. Por exemplo, a relação estabelecida entre a família e a escola); </w:t>
      </w:r>
      <w:r>
        <w:rPr>
          <w:i/>
        </w:rPr>
        <w:t>exossistema</w:t>
      </w:r>
      <w:r>
        <w:t xml:space="preserve"> (espaços sem participação ativa do indivíduo, como local de trabalho dos pais); </w:t>
      </w:r>
      <w:r>
        <w:rPr>
          <w:i/>
        </w:rPr>
        <w:t>macrossistema</w:t>
      </w:r>
      <w:r>
        <w:t xml:space="preserve"> (valores culturais, situação política e econômica). A relação entre esses contextos possibilita a identificação das interações entre os ambientes e uma análise de como isso afeta o desenvolvimento (Bronfenbrenner, 1979). Em relação a pandemia, o ambiente ecológico de desenvolvimento, principalmente de</w:t>
      </w:r>
      <w:r w:rsidR="00D81E48">
        <w:t xml:space="preserve"> alguns</w:t>
      </w:r>
      <w:r>
        <w:t xml:space="preserve"> adolescentes, foi alterado consideravelmente. As orientações dos órgãos de saúde para contenção do vírus fizeram com que os indivíduos não tivessem mais contato com contextos importantes de desenvolvimento, como a família, a escola, o trabalho, entre outros. Portanto, a interação com os diferentes sistemas ecológicos foi rompida ou diminuída, em diferentes intensidades, ao longo da pandemia.</w:t>
      </w:r>
    </w:p>
    <w:p w14:paraId="494030DB" w14:textId="7315EF41" w:rsidR="00C33A41" w:rsidRPr="00D81E48" w:rsidRDefault="007B3952" w:rsidP="00D81E48">
      <w:pPr>
        <w:pStyle w:val="Textodecomentrio"/>
        <w:spacing w:line="480" w:lineRule="auto"/>
        <w:ind w:firstLine="708"/>
        <w:rPr>
          <w:rFonts w:ascii="Times New Roman" w:eastAsia="Calibri" w:hAnsi="Times New Roman" w:cs="Calibri"/>
          <w:sz w:val="24"/>
          <w:szCs w:val="24"/>
        </w:rPr>
      </w:pPr>
      <w:r w:rsidRPr="00D81E48">
        <w:rPr>
          <w:rFonts w:ascii="Times New Roman" w:eastAsia="Calibri" w:hAnsi="Times New Roman" w:cs="Calibri"/>
          <w:sz w:val="24"/>
          <w:szCs w:val="24"/>
        </w:rPr>
        <w:t xml:space="preserve">Com relação ao Tempo, no modelo PPCT é possível considerar o </w:t>
      </w:r>
      <w:proofErr w:type="spellStart"/>
      <w:r w:rsidRPr="00D81E48">
        <w:rPr>
          <w:rFonts w:ascii="Times New Roman" w:eastAsia="Calibri" w:hAnsi="Times New Roman" w:cs="Calibri"/>
          <w:i/>
          <w:iCs/>
          <w:sz w:val="24"/>
          <w:szCs w:val="24"/>
        </w:rPr>
        <w:t>microtempo</w:t>
      </w:r>
      <w:proofErr w:type="spellEnd"/>
      <w:r w:rsidRPr="00D81E48">
        <w:rPr>
          <w:rFonts w:ascii="Times New Roman" w:eastAsia="Calibri" w:hAnsi="Times New Roman" w:cs="Calibri"/>
          <w:sz w:val="24"/>
          <w:szCs w:val="24"/>
        </w:rPr>
        <w:t xml:space="preserve"> (o espaço temporal imediato que ocorre com a pessoa que está em determinada atividade), o </w:t>
      </w:r>
      <w:proofErr w:type="spellStart"/>
      <w:r w:rsidRPr="00D81E48">
        <w:rPr>
          <w:rFonts w:ascii="Times New Roman" w:eastAsia="Calibri" w:hAnsi="Times New Roman" w:cs="Calibri"/>
          <w:i/>
          <w:iCs/>
          <w:sz w:val="24"/>
          <w:szCs w:val="24"/>
        </w:rPr>
        <w:t>mesotempo</w:t>
      </w:r>
      <w:proofErr w:type="spellEnd"/>
      <w:r w:rsidRPr="00D81E48">
        <w:rPr>
          <w:rFonts w:ascii="Times New Roman" w:eastAsia="Calibri" w:hAnsi="Times New Roman" w:cs="Calibri"/>
          <w:sz w:val="24"/>
          <w:szCs w:val="24"/>
        </w:rPr>
        <w:t xml:space="preserve"> (relacionado a</w:t>
      </w:r>
      <w:r w:rsidR="00D81E48" w:rsidRPr="00D81E48">
        <w:rPr>
          <w:rFonts w:ascii="Times New Roman" w:eastAsia="Calibri" w:hAnsi="Times New Roman" w:cs="Calibri"/>
          <w:sz w:val="24"/>
          <w:szCs w:val="24"/>
        </w:rPr>
        <w:t xml:space="preserve"> periodicidade dos eventos</w:t>
      </w:r>
      <w:r w:rsidRPr="00D81E48">
        <w:rPr>
          <w:rFonts w:ascii="Times New Roman" w:eastAsia="Calibri" w:hAnsi="Times New Roman" w:cs="Calibri"/>
          <w:sz w:val="24"/>
          <w:szCs w:val="24"/>
        </w:rPr>
        <w:t xml:space="preserve"> cotidiano</w:t>
      </w:r>
      <w:r w:rsidR="00D81E48" w:rsidRPr="00D81E48">
        <w:rPr>
          <w:rFonts w:ascii="Times New Roman" w:eastAsia="Calibri" w:hAnsi="Times New Roman" w:cs="Calibri"/>
          <w:sz w:val="24"/>
          <w:szCs w:val="24"/>
        </w:rPr>
        <w:t>s</w:t>
      </w:r>
      <w:r w:rsidRPr="00D81E48">
        <w:rPr>
          <w:rFonts w:ascii="Times New Roman" w:eastAsia="Calibri" w:hAnsi="Times New Roman" w:cs="Calibri"/>
          <w:sz w:val="24"/>
          <w:szCs w:val="24"/>
        </w:rPr>
        <w:t xml:space="preserve">) e o </w:t>
      </w:r>
      <w:proofErr w:type="spellStart"/>
      <w:r w:rsidRPr="00D81E48">
        <w:rPr>
          <w:rFonts w:ascii="Times New Roman" w:eastAsia="Calibri" w:hAnsi="Times New Roman" w:cs="Calibri"/>
          <w:i/>
          <w:iCs/>
          <w:sz w:val="24"/>
          <w:szCs w:val="24"/>
        </w:rPr>
        <w:t>macrotempo</w:t>
      </w:r>
      <w:proofErr w:type="spellEnd"/>
      <w:r w:rsidRPr="00D81E48">
        <w:rPr>
          <w:rFonts w:ascii="Times New Roman" w:eastAsia="Calibri" w:hAnsi="Times New Roman" w:cs="Calibri"/>
          <w:sz w:val="24"/>
          <w:szCs w:val="24"/>
        </w:rPr>
        <w:t xml:space="preserve"> ou também conhecido como </w:t>
      </w:r>
      <w:proofErr w:type="spellStart"/>
      <w:r w:rsidRPr="00D81E48">
        <w:rPr>
          <w:rFonts w:ascii="Times New Roman" w:eastAsia="Calibri" w:hAnsi="Times New Roman" w:cs="Calibri"/>
          <w:i/>
          <w:iCs/>
          <w:sz w:val="24"/>
          <w:szCs w:val="24"/>
        </w:rPr>
        <w:t>cronossistema</w:t>
      </w:r>
      <w:proofErr w:type="spellEnd"/>
      <w:r w:rsidRPr="00D81E48">
        <w:rPr>
          <w:rFonts w:ascii="Times New Roman" w:eastAsia="Calibri" w:hAnsi="Times New Roman" w:cs="Calibri"/>
          <w:sz w:val="24"/>
          <w:szCs w:val="24"/>
        </w:rPr>
        <w:t xml:space="preserve"> (corresponde ao tempo histórico) </w:t>
      </w:r>
      <w:r w:rsidRPr="00D81E48">
        <w:rPr>
          <w:rFonts w:ascii="Times New Roman" w:eastAsia="Calibri" w:hAnsi="Times New Roman" w:cs="Calibri"/>
          <w:sz w:val="24"/>
          <w:szCs w:val="24"/>
        </w:rPr>
        <w:lastRenderedPageBreak/>
        <w:t xml:space="preserve">(Bronfenbrenner &amp; Morris, 1998). Considerando a pandemia, a dimensão temporal é parte essencial para análise de processos desenvolvimentais. Primeiramente, pelo seu caráter e dimensão histórica, o período pandêmico precisa ser avaliado enquanto um </w:t>
      </w:r>
      <w:proofErr w:type="spellStart"/>
      <w:r w:rsidRPr="00D81E48">
        <w:rPr>
          <w:rFonts w:ascii="Times New Roman" w:eastAsia="Calibri" w:hAnsi="Times New Roman" w:cs="Calibri"/>
          <w:sz w:val="24"/>
          <w:szCs w:val="24"/>
        </w:rPr>
        <w:t>cronossistema</w:t>
      </w:r>
      <w:proofErr w:type="spellEnd"/>
      <w:r w:rsidRPr="00D81E48">
        <w:rPr>
          <w:rFonts w:ascii="Times New Roman" w:eastAsia="Calibri" w:hAnsi="Times New Roman" w:cs="Calibri"/>
          <w:sz w:val="24"/>
          <w:szCs w:val="24"/>
        </w:rPr>
        <w:t xml:space="preserve"> presente no processo de adolescência dos jovens dessa geração, visto que seu processo de desenvolvimento foi atravessado por um fenômeno sanitário mundial. Além da interferência direta que a pandemia teve no cotidiano (</w:t>
      </w:r>
      <w:proofErr w:type="spellStart"/>
      <w:r w:rsidRPr="00D81E48">
        <w:rPr>
          <w:rFonts w:ascii="Times New Roman" w:eastAsia="Calibri" w:hAnsi="Times New Roman" w:cs="Calibri"/>
          <w:sz w:val="24"/>
          <w:szCs w:val="24"/>
        </w:rPr>
        <w:t>mesotempo</w:t>
      </w:r>
      <w:proofErr w:type="spellEnd"/>
      <w:r w:rsidRPr="00D81E48">
        <w:rPr>
          <w:rFonts w:ascii="Times New Roman" w:eastAsia="Calibri" w:hAnsi="Times New Roman" w:cs="Calibri"/>
          <w:sz w:val="24"/>
          <w:szCs w:val="24"/>
        </w:rPr>
        <w:t xml:space="preserve">) de toda a população, ocasionando diferentes mudanças ao longo de, praticamente, três anos de crise sanitária declarada pela OMS. </w:t>
      </w:r>
    </w:p>
    <w:p w14:paraId="3E9F0D3D" w14:textId="383F2AB6" w:rsidR="00C33A41" w:rsidRDefault="007B3952">
      <w:pPr>
        <w:ind w:firstLine="708"/>
        <w:rPr>
          <w:color w:val="FF0000"/>
        </w:rPr>
      </w:pPr>
      <w:bookmarkStart w:id="14" w:name="_heading=h.1v1yuxt" w:colFirst="0" w:colLast="0"/>
      <w:bookmarkEnd w:id="14"/>
      <w:r>
        <w:t xml:space="preserve">Os </w:t>
      </w:r>
      <w:r>
        <w:rPr>
          <w:i/>
        </w:rPr>
        <w:t>Processos Proximais</w:t>
      </w:r>
      <w:r>
        <w:t xml:space="preserve">, por sua vez, correspondem a um dos aspectos centrais da teoria bioecológica e é caracterizado como as interações recíprocas entre um indivíduo e as pessoas ou objetos que compõem seu entorno. Entretanto, para se configurar como processo proximal, esta interação precisa acontecer com regularidade e ter uma manutenção de tempo maior (Bronfenbrenner &amp; Morris, 1998). Neste caso, por exemplo, é fundamental avaliar a interação e a formação dos vínculos familiares, por meio dos sistemas diádico (pai-filho, mãe-filho), triádico (pai-mãe-filho) e poliádico (pai-mãe-irmão-filho) para o desenvolvimento dos processos proximais (Bronfenbrenner, 2011), </w:t>
      </w:r>
      <w:r>
        <w:rPr>
          <w:highlight w:val="white"/>
        </w:rPr>
        <w:t>especialmente de adolescentes que já vivenciam situações de vulnerabilidade e que podem ter sido ainda mais acentuadas com a pandemia. Isso porque, c</w:t>
      </w:r>
      <w:r w:rsidR="00BB4AE5">
        <w:rPr>
          <w:highlight w:val="white"/>
        </w:rPr>
        <w:t>aso</w:t>
      </w:r>
      <w:r>
        <w:rPr>
          <w:highlight w:val="white"/>
        </w:rPr>
        <w:t xml:space="preserve"> as medidas de isolamento social </w:t>
      </w:r>
      <w:r w:rsidR="00BB4AE5">
        <w:rPr>
          <w:highlight w:val="white"/>
        </w:rPr>
        <w:t>tenham causado uma</w:t>
      </w:r>
      <w:r>
        <w:rPr>
          <w:highlight w:val="white"/>
        </w:rPr>
        <w:t xml:space="preserve"> diminuição do contato com pessoas próximas, esses sistemas de interação tenderam a diminuir, interferindo diretamente na possibilidade de desenvolvimento dos processos proximais desses adolescentes.</w:t>
      </w:r>
    </w:p>
    <w:p w14:paraId="76CBA22B" w14:textId="77777777" w:rsidR="00C33A41" w:rsidRDefault="007B3952">
      <w:pPr>
        <w:ind w:firstLine="708"/>
      </w:pPr>
      <w:r>
        <w:t xml:space="preserve">Como observado, as relações indivíduo-ambiente são bidirecionais e interdependentes, sendo assim, tanto os efeitos individuais quanto os contextuais devem ser considerados num contínuo dinâmico e correlato (Bronfenbrenner &amp; Morris, 1998). Ainda é preciso destacar que, para a perspectiva supracitada, crianças e adolescentes são </w:t>
      </w:r>
      <w:r>
        <w:lastRenderedPageBreak/>
        <w:t xml:space="preserve">vistos como agentes ativos, que estão constantemente dando significados às suas vivências, bem como estabelecem sentidos pessoais ao ambiente e contextos em que vivem (Petrucci et al., 2016). </w:t>
      </w:r>
    </w:p>
    <w:p w14:paraId="7D19309F" w14:textId="77777777" w:rsidR="00C33A41" w:rsidRDefault="007B3952">
      <w:pPr>
        <w:ind w:firstLine="708"/>
      </w:pPr>
      <w:r>
        <w:t>Dessa forma, os diversos sistemas que compõem a vida dos adolescentes podem interferir de alguma forma com a acentuação ou a mitigação das vulnerabilidades em período de pandemia. No que se refere ao micro e mesossistema (família, escola, igreja, entre outros) o contexto pandêmico acabou impossibilitando a relação entre os sistemas, dificultando o acesso a rede de apoio e cuidado de crianças e adolescentes. As famílias (microssistema) tiveram os acessos a serviços educacionais e assistenciais suspensos, aumentando o fator de risco de quem já se encontrava em situação de vulnerabilidade (</w:t>
      </w:r>
      <w:proofErr w:type="spellStart"/>
      <w:r>
        <w:t>Paludo</w:t>
      </w:r>
      <w:proofErr w:type="spellEnd"/>
      <w:r>
        <w:t xml:space="preserve"> et. al., 2020).</w:t>
      </w:r>
    </w:p>
    <w:p w14:paraId="4A6B3E45" w14:textId="77777777" w:rsidR="00C33A41" w:rsidRDefault="007B3952">
      <w:pPr>
        <w:ind w:firstLine="708"/>
        <w:rPr>
          <w:color w:val="FF0000"/>
        </w:rPr>
      </w:pPr>
      <w:r>
        <w:t>No nível macro, pode-se pensar nos investimentos em serviços de apoio psicossociais e intervenções protetivas (</w:t>
      </w:r>
      <w:proofErr w:type="spellStart"/>
      <w:r>
        <w:t>Banati</w:t>
      </w:r>
      <w:proofErr w:type="spellEnd"/>
      <w:r>
        <w:t xml:space="preserve"> et al., 2020). Entretanto, o Brasil viveu, durante a pandemia, uma crescente desvalorização, por parte do governo federal, nos investimentos em políticas sociais. Mesmo durante a pandemia, os orçamentos de programas de amparo a pessoas em situação de vulnerabilidade foram reduzidos, aumentando os riscos psicossociais dos adolescentes e suas famílias (Rodrigues et al., 2021). Além disso, também é possível considerar os impactos de estruturas de opressão, como o racismo, o machismo e a homofobia, que interferem, direta e indiretamente, nas violações e vulnerabilidades vivenciadas por determinadas parcelas da população.</w:t>
      </w:r>
    </w:p>
    <w:p w14:paraId="0F40B64F" w14:textId="77777777" w:rsidR="00C33A41" w:rsidRDefault="007B3952">
      <w:pPr>
        <w:ind w:firstLine="708"/>
      </w:pPr>
      <w:r>
        <w:t xml:space="preserve">Com relação a contextos comunitários mais próximos, o impacto é referente às aplicações das medidas de contenção. As comunidades em que os adolescentes vivem podem fornecer apoio familiar e social para diminuir as consequências do isolamento e da pandemia. Entretanto, </w:t>
      </w:r>
      <w:proofErr w:type="spellStart"/>
      <w:r>
        <w:t>Banati</w:t>
      </w:r>
      <w:proofErr w:type="spellEnd"/>
      <w:r>
        <w:t xml:space="preserve"> et al. (2020) ressaltam que esse suporte deve ser avaliado de acordo com a realidade de cada comunidade, pois muitas já sofrem déficits de coesão </w:t>
      </w:r>
      <w:r>
        <w:lastRenderedPageBreak/>
        <w:t>social e, portanto, podem acabar exacerbando os estressores sociais enfrentados pela população jovem. E, por fim, o nível individual, que aborda as interseccionalidades, como identidades sociais de gênero, idade e características étnico-raciais. Essas dimensões, num contexto de desigualdade social, podem aumentar a exposição ao Covid-19 e impossibilitar a implantação das medidas de contenção (</w:t>
      </w:r>
      <w:proofErr w:type="spellStart"/>
      <w:r>
        <w:t>Banati</w:t>
      </w:r>
      <w:proofErr w:type="spellEnd"/>
      <w:r>
        <w:t xml:space="preserve"> et al., 2020).</w:t>
      </w:r>
    </w:p>
    <w:p w14:paraId="409EB4FD" w14:textId="77777777" w:rsidR="00C33A41" w:rsidRDefault="007B3952">
      <w:pPr>
        <w:ind w:firstLine="708"/>
      </w:pPr>
      <w:r>
        <w:t>Em síntese, o desenvolvimento humano, de acordo com a Teoria Bioecológica é:</w:t>
      </w:r>
    </w:p>
    <w:p w14:paraId="239221E8" w14:textId="77777777" w:rsidR="00C33A41" w:rsidRDefault="007B3952">
      <w:pPr>
        <w:spacing w:line="240" w:lineRule="auto"/>
        <w:ind w:left="1440"/>
      </w:pPr>
      <w:r>
        <w:t xml:space="preserve">“o fenômeno de continuidade e de mudança das características biopsicológicas dos seres humanos como indivíduos e grupos. Esse fenômeno se estende ao longo do ciclo de vida humano por meio das sucessivas gerações e ao longo do tempo histórico, tanto passado quanto presente” (Bronfenbrenner, 2012, p. 43). </w:t>
      </w:r>
    </w:p>
    <w:p w14:paraId="382B8C83" w14:textId="77777777" w:rsidR="00C33A41" w:rsidRDefault="00C33A41"/>
    <w:p w14:paraId="79BA3F26" w14:textId="77777777" w:rsidR="00C33A41" w:rsidRDefault="007B3952">
      <w:pPr>
        <w:ind w:firstLine="708"/>
      </w:pPr>
      <w:r>
        <w:t xml:space="preserve">Dessa forma, os seus pressupostos se articulam com análises sobre o contexto de pandemia, visto que suas consequências têm potencial de alterar aspectos biopsicológicos, sociais e históricos dos indivíduos. </w:t>
      </w:r>
      <w:proofErr w:type="spellStart"/>
      <w:r>
        <w:t>Paludo</w:t>
      </w:r>
      <w:proofErr w:type="spellEnd"/>
      <w:r>
        <w:t xml:space="preserve"> </w:t>
      </w:r>
      <w:r>
        <w:rPr>
          <w:i/>
        </w:rPr>
        <w:t>et al.</w:t>
      </w:r>
      <w:r>
        <w:t xml:space="preserve"> (2020) pontuaram que os recursos biopsicológicos dos indivíduos têm um papel fundamental para o enfrentamento da pandemia desencadeada pelo Covid-19. Segundo as autoras, as vivências e as habilidades prévias que as pessoas tinham antes da pandemia são consideradas importantes, pois podem ser ressignificados diante dos novos desafios enfrentados. Portanto, as consequências da pandemia, como isolamentos e limitações das interações interpessoais, diminuição da transição entre os microssistemas, mudanças extremas no cotidiano e processos de luto, podem ser ancorados com conhecimentos anteriores (</w:t>
      </w:r>
      <w:proofErr w:type="spellStart"/>
      <w:r>
        <w:t>Paludo</w:t>
      </w:r>
      <w:proofErr w:type="spellEnd"/>
      <w:r>
        <w:t xml:space="preserve"> </w:t>
      </w:r>
      <w:r>
        <w:rPr>
          <w:i/>
        </w:rPr>
        <w:t>et al.</w:t>
      </w:r>
      <w:r>
        <w:t>, 2020).</w:t>
      </w:r>
    </w:p>
    <w:p w14:paraId="79159288" w14:textId="77777777" w:rsidR="00C33A41" w:rsidRDefault="00C33A41">
      <w:pPr>
        <w:ind w:firstLine="708"/>
        <w:rPr>
          <w:color w:val="FF0000"/>
        </w:rPr>
      </w:pPr>
    </w:p>
    <w:p w14:paraId="4BA363AA" w14:textId="77777777" w:rsidR="00C33A41" w:rsidRDefault="007B3952">
      <w:pPr>
        <w:pStyle w:val="Ttulo2"/>
      </w:pPr>
      <w:bookmarkStart w:id="15" w:name="_heading=h.1ksv4uv" w:colFirst="0" w:colLast="0"/>
      <w:bookmarkEnd w:id="15"/>
      <w:r>
        <w:t>1.4 Estudos Atuais sobre Adolescentes em Situação de Vulnerabilidade e em Privação de Liberdade Durante a Pandemia do Covid-19</w:t>
      </w:r>
    </w:p>
    <w:p w14:paraId="56335F20" w14:textId="77777777" w:rsidR="00C33A41" w:rsidRDefault="007B3952">
      <w:pPr>
        <w:ind w:firstLine="708"/>
      </w:pPr>
      <w:r>
        <w:t xml:space="preserve">Alguns estudos, principalmente internacionais, já têm buscado analisar as condições desencadeadas pela pandemia na população juvenil que já se encontravam em </w:t>
      </w:r>
      <w:r>
        <w:lastRenderedPageBreak/>
        <w:t xml:space="preserve">situação de exclusão ou vulnerabilidades sociais. </w:t>
      </w:r>
      <w:proofErr w:type="spellStart"/>
      <w:r>
        <w:t>Banati</w:t>
      </w:r>
      <w:proofErr w:type="spellEnd"/>
      <w:r>
        <w:t xml:space="preserve"> et al. (2020) investigaram vulnerabilidades interseccionais em 500 adolescentes de países com elevados indicadores de risco psicossocial e baixa renda</w:t>
      </w:r>
      <w:r>
        <w:rPr>
          <w:shd w:val="clear" w:color="auto" w:fill="FCFCFC"/>
        </w:rPr>
        <w:t xml:space="preserve">. </w:t>
      </w:r>
      <w:r>
        <w:t xml:space="preserve">O objetivo foi avaliar as experiências e respostas à situação de pandemia considerando as dimensões de idade e gênero desses adolescentes. O estudo indicou que a pandemia e a capacidade ou ausência de respostas da saúde pública dos países acentuaram vulnerabilidades pré-existentes na vida dos adolescentes. </w:t>
      </w:r>
    </w:p>
    <w:p w14:paraId="0BD53DD2" w14:textId="4BE3B00B" w:rsidR="00C33A41" w:rsidRDefault="007B3952">
      <w:pPr>
        <w:ind w:firstLine="708"/>
        <w:rPr>
          <w:color w:val="333333"/>
          <w:shd w:val="clear" w:color="auto" w:fill="FCFCFC"/>
        </w:rPr>
      </w:pPr>
      <w:r>
        <w:t>A situação tornou-se ainda mais grave com a limitação de acesso a serviços de saúde e educação, bem como a relação com a rede de apoio social oferecida pelos pares. Isso ocasion</w:t>
      </w:r>
      <w:r w:rsidR="003350C3">
        <w:t>ou</w:t>
      </w:r>
      <w:r>
        <w:t xml:space="preserve"> níveis elevados de ansiedade e estresse entre os adolescentes e jovens. Jones et al. (2020) também realizaram uma pesquisa sobre o impacto da pandemia em crianças e adolescentes vulneráveis na Austrália e </w:t>
      </w:r>
      <w:r>
        <w:rPr>
          <w:color w:val="000000"/>
        </w:rPr>
        <w:t xml:space="preserve">chegaram a resultados similares aos de </w:t>
      </w:r>
      <w:proofErr w:type="spellStart"/>
      <w:r>
        <w:t>Banati</w:t>
      </w:r>
      <w:proofErr w:type="spellEnd"/>
      <w:r>
        <w:t xml:space="preserve"> et al. (2020)</w:t>
      </w:r>
      <w:r>
        <w:rPr>
          <w:color w:val="000000"/>
        </w:rPr>
        <w:t>.</w:t>
      </w:r>
    </w:p>
    <w:p w14:paraId="0EB16A0C" w14:textId="77777777" w:rsidR="00C33A41" w:rsidRDefault="007B3952">
      <w:pPr>
        <w:ind w:firstLine="708"/>
      </w:pPr>
      <w:r>
        <w:t xml:space="preserve">Cohen e </w:t>
      </w:r>
      <w:proofErr w:type="spellStart"/>
      <w:r>
        <w:t>Bosk</w:t>
      </w:r>
      <w:proofErr w:type="spellEnd"/>
      <w:r>
        <w:t xml:space="preserve"> (2020), ao trazerem orientações sobre o atendimento pediátrico de crianças e adolescentes durante o período de pandemia, destacaram os grupos que estão mais expostos a fatores de risco sociais e ambientais. Para os autores, jovens homossexuais ou transgêneros, em situação de rua, em acolhimento e em uso de substancias psicoativas precisam de atenção e cuidados redobrados. Isso porque as condições de vida permeadas por uma combinação complexa de interações potencialmente negativas, podem ser um agravante e aumentar os riscos psicossociais diante das consequências da pandemia. A maior dificuldade apontada no estudo é justamente garantir que os adolescentes que já estavam em situação de vulnerabilidade tenham suas necessidades de segurança e suporte social garantido de forma imediata, considerando que correm, inclusive, risco de vida maior do que outros grupos.</w:t>
      </w:r>
    </w:p>
    <w:p w14:paraId="473E1025" w14:textId="77777777" w:rsidR="00C33A41" w:rsidRDefault="007B3952">
      <w:pPr>
        <w:ind w:firstLine="708"/>
      </w:pPr>
      <w:bookmarkStart w:id="16" w:name="_heading=h.26in1rg" w:colFirst="0" w:colLast="0"/>
      <w:bookmarkEnd w:id="16"/>
      <w:r>
        <w:t xml:space="preserve">Organizações como a UNICEF (2020a), a Organização das Nações Unidas - ONU (2020a) e a UNESCO (2021) alertaram governos e a sociedade civil sobre o agravamento </w:t>
      </w:r>
      <w:r>
        <w:lastRenderedPageBreak/>
        <w:t>de certas situações vivenciadas por crianças e adolescentes durante a pandemia. As respostas dos países e governos à pandemia e a gestão da crise na implementação de medidas de recuperação precisam considerar as diversas demandas que serão agravadas, em médio e longo prazo, na vida de adolescentes em situação de vulnerabilidade. A pandemia pode aumentar níveis de desemprego juvenil, dívidas intergeracionais para o futuro dos jovens, assim como ameaças ao bem-estar (físico, mental e social) das gerações futuras (</w:t>
      </w:r>
      <w:proofErr w:type="spellStart"/>
      <w:r>
        <w:rPr>
          <w:i/>
        </w:rPr>
        <w:t>Organization</w:t>
      </w:r>
      <w:proofErr w:type="spellEnd"/>
      <w:r>
        <w:rPr>
          <w:i/>
        </w:rPr>
        <w:t xml:space="preserve"> for Economic </w:t>
      </w:r>
      <w:proofErr w:type="spellStart"/>
      <w:r>
        <w:rPr>
          <w:i/>
        </w:rPr>
        <w:t>Co-operation</w:t>
      </w:r>
      <w:proofErr w:type="spellEnd"/>
      <w:r>
        <w:rPr>
          <w:i/>
        </w:rPr>
        <w:t xml:space="preserve"> </w:t>
      </w:r>
      <w:proofErr w:type="spellStart"/>
      <w:r>
        <w:rPr>
          <w:i/>
        </w:rPr>
        <w:t>and</w:t>
      </w:r>
      <w:proofErr w:type="spellEnd"/>
      <w:r>
        <w:rPr>
          <w:i/>
        </w:rPr>
        <w:t xml:space="preserve"> </w:t>
      </w:r>
      <w:proofErr w:type="spellStart"/>
      <w:r>
        <w:rPr>
          <w:i/>
        </w:rPr>
        <w:t>Development</w:t>
      </w:r>
      <w:proofErr w:type="spellEnd"/>
      <w:r>
        <w:t xml:space="preserve"> [OECD], 2020).</w:t>
      </w:r>
    </w:p>
    <w:p w14:paraId="32FE47B7" w14:textId="77777777" w:rsidR="00C33A41" w:rsidRDefault="007B3952">
      <w:pPr>
        <w:ind w:firstLine="708"/>
        <w:rPr>
          <w:color w:val="000000"/>
        </w:rPr>
      </w:pPr>
      <w:r>
        <w:rPr>
          <w:color w:val="000000"/>
        </w:rPr>
        <w:t xml:space="preserve">Com relação aos estudos brasileiros sobre adolescentes no período da pandemia, observou-se uma predominância de publicações com foco na saúde (Silva-Rodrigues </w:t>
      </w:r>
      <w:r>
        <w:rPr>
          <w:i/>
          <w:color w:val="000000"/>
        </w:rPr>
        <w:t>et al</w:t>
      </w:r>
      <w:r>
        <w:rPr>
          <w:color w:val="000000"/>
        </w:rPr>
        <w:t xml:space="preserve">., 2021; Costa </w:t>
      </w:r>
      <w:r>
        <w:rPr>
          <w:i/>
          <w:color w:val="000000"/>
        </w:rPr>
        <w:t>et al.</w:t>
      </w:r>
      <w:r>
        <w:rPr>
          <w:color w:val="000000"/>
        </w:rPr>
        <w:t xml:space="preserve">, 2022), na educação (Gatti, 2020; </w:t>
      </w:r>
      <w:proofErr w:type="spellStart"/>
      <w:r>
        <w:rPr>
          <w:color w:val="000000"/>
        </w:rPr>
        <w:t>Scaff</w:t>
      </w:r>
      <w:proofErr w:type="spellEnd"/>
      <w:r>
        <w:rPr>
          <w:color w:val="000000"/>
        </w:rPr>
        <w:t xml:space="preserve"> </w:t>
      </w:r>
      <w:r>
        <w:rPr>
          <w:i/>
          <w:color w:val="000000"/>
        </w:rPr>
        <w:t>et al.</w:t>
      </w:r>
      <w:r>
        <w:rPr>
          <w:color w:val="000000"/>
        </w:rPr>
        <w:t>, 2021) e saúde mental (</w:t>
      </w:r>
      <w:proofErr w:type="spellStart"/>
      <w:r>
        <w:rPr>
          <w:color w:val="000000"/>
        </w:rPr>
        <w:t>Gadagnoto</w:t>
      </w:r>
      <w:proofErr w:type="spellEnd"/>
      <w:r>
        <w:rPr>
          <w:color w:val="000000"/>
        </w:rPr>
        <w:t xml:space="preserve"> </w:t>
      </w:r>
      <w:r>
        <w:rPr>
          <w:i/>
          <w:color w:val="000000"/>
        </w:rPr>
        <w:t>et al.</w:t>
      </w:r>
      <w:r>
        <w:rPr>
          <w:color w:val="000000"/>
        </w:rPr>
        <w:t xml:space="preserve">, 2022; Lucas et al., 2020; Nogueira &amp; Silveira, 2021). No que se refere especificamente a adolescentes em situações de vulnerabilidade social, encontrou-se, majoritariamente, estudos nacionais com foco em exposição a violências (Marques </w:t>
      </w:r>
      <w:r>
        <w:rPr>
          <w:i/>
          <w:color w:val="000000"/>
        </w:rPr>
        <w:t>et al.</w:t>
      </w:r>
      <w:r>
        <w:rPr>
          <w:color w:val="000000"/>
        </w:rPr>
        <w:t xml:space="preserve">, 2020; </w:t>
      </w:r>
      <w:proofErr w:type="spellStart"/>
      <w:r>
        <w:rPr>
          <w:color w:val="000000"/>
        </w:rPr>
        <w:t>Platt</w:t>
      </w:r>
      <w:proofErr w:type="spellEnd"/>
      <w:r>
        <w:rPr>
          <w:color w:val="000000"/>
        </w:rPr>
        <w:t xml:space="preserve"> </w:t>
      </w:r>
      <w:r>
        <w:rPr>
          <w:i/>
          <w:color w:val="000000"/>
        </w:rPr>
        <w:t>et al.</w:t>
      </w:r>
      <w:r>
        <w:rPr>
          <w:color w:val="000000"/>
        </w:rPr>
        <w:t>, 2021), mas boa parte dessas publicações são apenas teóricos ou de revisão de literatura (</w:t>
      </w:r>
      <w:r>
        <w:rPr>
          <w:i/>
          <w:color w:val="000000"/>
        </w:rPr>
        <w:t>Coutinho et al., 2021;</w:t>
      </w:r>
      <w:r>
        <w:rPr>
          <w:color w:val="000000"/>
        </w:rPr>
        <w:t xml:space="preserve"> Rodrigues, </w:t>
      </w:r>
      <w:r>
        <w:rPr>
          <w:i/>
          <w:color w:val="000000"/>
        </w:rPr>
        <w:t>et al</w:t>
      </w:r>
      <w:r>
        <w:rPr>
          <w:color w:val="000000"/>
        </w:rPr>
        <w:t>., 2021).</w:t>
      </w:r>
    </w:p>
    <w:p w14:paraId="6011FD03" w14:textId="77777777" w:rsidR="00C33A41" w:rsidRDefault="007B3952">
      <w:pPr>
        <w:ind w:firstLine="708"/>
      </w:pPr>
      <w:r>
        <w:rPr>
          <w:color w:val="000000"/>
        </w:rPr>
        <w:t xml:space="preserve">Uma pesquisa importante realizada em caráter nacional é o Atlas das Juventudes, em que foram entrevistados mais de 68 mil adolescentes no país. A pesquisa, realizada pelo </w:t>
      </w:r>
      <w:r>
        <w:t>Conselho Nacional da </w:t>
      </w:r>
      <w:r>
        <w:rPr>
          <w:i/>
        </w:rPr>
        <w:t>Juventude</w:t>
      </w:r>
      <w:r>
        <w:t> ([CONJUVE], 2021</w:t>
      </w:r>
      <w:r>
        <w:rPr>
          <w:color w:val="000000"/>
        </w:rPr>
        <w:t xml:space="preserve">), foi denominada “Juventudes e a Pandemia do Coronavírus” e identificou aspectos importantes sobre o período da pandemia na juventude brasileira, especificamente nos que se encontram em condições socioeconômicas mais vulneráveis. Na primeira edição da pesquisa, realizada em 2020, os adolescentes e jovens </w:t>
      </w:r>
      <w:r>
        <w:t>relataram</w:t>
      </w:r>
      <w:r>
        <w:rPr>
          <w:color w:val="000000"/>
        </w:rPr>
        <w:t xml:space="preserve"> uma piora nas condições físicas e emocionais nos primeiros meses da pandemia. Já em 2021, os relacionamentos domésticos e a alimentação foram vistos como mais positivos, porém, observou-se uma piora </w:t>
      </w:r>
      <w:r>
        <w:t xml:space="preserve">na </w:t>
      </w:r>
      <w:r>
        <w:lastRenderedPageBreak/>
        <w:t>qualidade</w:t>
      </w:r>
      <w:r>
        <w:rPr>
          <w:color w:val="000000"/>
        </w:rPr>
        <w:t xml:space="preserve"> do sono, condição física e estado emocional, especialmente para o gênero feminino.</w:t>
      </w:r>
    </w:p>
    <w:p w14:paraId="2D244B82" w14:textId="77777777" w:rsidR="00C33A41" w:rsidRDefault="007B3952">
      <w:pPr>
        <w:ind w:firstLine="708"/>
        <w:rPr>
          <w:color w:val="000000"/>
        </w:rPr>
      </w:pPr>
      <w:r>
        <w:rPr>
          <w:color w:val="000000"/>
        </w:rPr>
        <w:t>A pesquisa também informou as condições educacionais da juventude brasileira, demonstrando um aumento no número de jovens que não estão estudando em 2021. Entre os respondentes que pararam de estudar, o motivo central indicado foi o financeiro e a dificuldade de se organizar com o ensino remoto. Dos adolescentes participantes da pesquisa, com idade entre 15 e 17 anos, 32% indicaram já ter pensado em parar de estudar durante o período de pandemia, sendo que o principal motivo para a permanência foi a busca por um futuro melhor e melhor inserção no mercado de trabalho (</w:t>
      </w:r>
      <w:r>
        <w:t>CONJUVE, 2021</w:t>
      </w:r>
      <w:r>
        <w:rPr>
          <w:color w:val="000000"/>
        </w:rPr>
        <w:t>).</w:t>
      </w:r>
    </w:p>
    <w:p w14:paraId="647197E3" w14:textId="77777777" w:rsidR="00C33A41" w:rsidRDefault="007B3952">
      <w:pPr>
        <w:ind w:firstLine="708"/>
        <w:rPr>
          <w:color w:val="000000"/>
        </w:rPr>
      </w:pPr>
      <w:r>
        <w:rPr>
          <w:color w:val="000000"/>
        </w:rPr>
        <w:t xml:space="preserve">A </w:t>
      </w:r>
      <w:r>
        <w:t xml:space="preserve">UNICEF (2020c), </w:t>
      </w:r>
      <w:r>
        <w:rPr>
          <w:color w:val="000000"/>
        </w:rPr>
        <w:t>por meio da pesquisa</w:t>
      </w:r>
      <w:r>
        <w:rPr>
          <w:i/>
          <w:color w:val="000000"/>
        </w:rPr>
        <w:t> “</w:t>
      </w:r>
      <w:r>
        <w:rPr>
          <w:color w:val="000000"/>
        </w:rPr>
        <w:t>Impactos Primários e Secundários da Covid-19 em Crianças e Adolescentes”,</w:t>
      </w:r>
      <w:r>
        <w:rPr>
          <w:i/>
          <w:color w:val="000000"/>
        </w:rPr>
        <w:t xml:space="preserve"> </w:t>
      </w:r>
      <w:r>
        <w:rPr>
          <w:color w:val="000000"/>
        </w:rPr>
        <w:t xml:space="preserve">também identificou o agravamento na situação de vida de crianças e adolescentes de famílias mais vulneráveis. De acordo com os dados da pesquisa, os aspectos mais preocupantes estão em torno da diminuição da renda das famílias, aumento do risco alimentar devido à falta de comida e renda e menos acesso dos adolescentes </w:t>
      </w:r>
      <w:r>
        <w:t>às atividades</w:t>
      </w:r>
      <w:r>
        <w:rPr>
          <w:color w:val="000000"/>
        </w:rPr>
        <w:t xml:space="preserve"> escolares e espaços educativos. Além disso, também foi identificado que 54% das famílias relataram que algum adolescente do domicílio apresentou sintoma(s) relacionado(s) à saúde mental, tais como insônia, alteração de apetite e diminuição no interesse em atividades cotidianas. </w:t>
      </w:r>
    </w:p>
    <w:p w14:paraId="74DCBB40" w14:textId="77777777" w:rsidR="00C33A41" w:rsidRDefault="007B3952">
      <w:pPr>
        <w:ind w:firstLine="708"/>
      </w:pPr>
      <w:r>
        <w:t xml:space="preserve">Já os estudos que se voltaram especificamente para adolescentes dentro do sistema de internação socioeducativa ainda são escassos. Uma das investigações encontradas foi a de França et al. (2022) que buscou verificar como a pandemia interferiu na rotina de adolescentes em cumprimento de medida socioeducativa de internação do Centro de Socioeducação (CENSE) localizada no estado do Paraná. Segundo os dados, se verificou que uma das principais dificuldades identificadas foi com relação a ausência de visita dos </w:t>
      </w:r>
      <w:r>
        <w:lastRenderedPageBreak/>
        <w:t>familiares, indicado pelos adolescentes como uma das situações mais difíceis de lidar na internação durante a pandemia (França et al., 2022).</w:t>
      </w:r>
    </w:p>
    <w:p w14:paraId="530873A5" w14:textId="77777777" w:rsidR="00C33A41" w:rsidRDefault="007B3952">
      <w:pPr>
        <w:ind w:firstLine="708"/>
      </w:pPr>
      <w:r>
        <w:t xml:space="preserve">Com relação a essa mesma temática, o estudo de Barbosa et al. (2022) abordou as interações familiares dos adolescentes em internação no Centro de Atendimento Socioeducativo (CASE) no estado do Tocantins. Para as autoras, a pandemia dificultou ainda mais a presença de familiares durante a aplicação da medida, fator que já existia antes, devido a condições sociais das famílias dos adolescentes internos, e que se acentuou. A dificuldade de contato com as famílias também interferiu no trabalho da equipe para garantir o fortalecimento de vínculos entre adolescente-família, o que ocasionou, em casos mais graves, até no rompimento total desses vínculos (Barbosa et al., 2022). </w:t>
      </w:r>
    </w:p>
    <w:p w14:paraId="06496247" w14:textId="77777777" w:rsidR="00C33A41" w:rsidRDefault="007B3952">
      <w:pPr>
        <w:ind w:firstLine="708"/>
        <w:rPr>
          <w:color w:val="FF0000"/>
        </w:rPr>
      </w:pPr>
      <w:r>
        <w:t>Outros estudos foram identificados, porém são materiais teóricos, que também fazem uma articulação conceitual sobre os impactos da pandemia nas medidas socioeducativas de internação (</w:t>
      </w:r>
      <w:proofErr w:type="spellStart"/>
      <w:r>
        <w:t>Sposato</w:t>
      </w:r>
      <w:proofErr w:type="spellEnd"/>
      <w:r>
        <w:t xml:space="preserve"> &amp; Moitinho, 2021; Vinuto, 2020). Como pode-se observar, existe uma pluralidade de fatores estressores e vulnerabilidades psicossociais envolvendo o cotidiano de adolescentes e jovens no Brasil e no mundo. A pandemia do Covid-19 e suas consequências para a população juvenil devem ser analisadas de modo multifatorial, considerando as vulnerabilidades sociais já existentes e as suas acentuações nos últimos anos. Sendo assim, considerou-se imprescindível avaliar, empiricamente, o impacto que a pandemia do Covid-19 teve no cotidiano de adolescentes que cumpriam medidas socioeducativas de internação no período da pandemia.</w:t>
      </w:r>
    </w:p>
    <w:p w14:paraId="484BEF65" w14:textId="77777777" w:rsidR="00C33A41" w:rsidRDefault="00C33A41"/>
    <w:p w14:paraId="242BD8F9" w14:textId="77777777" w:rsidR="00C33A41" w:rsidRDefault="00C33A41">
      <w:pPr>
        <w:rPr>
          <w:b/>
        </w:rPr>
      </w:pPr>
    </w:p>
    <w:p w14:paraId="412F95C9" w14:textId="77777777" w:rsidR="00C33A41" w:rsidRDefault="00C33A41">
      <w:pPr>
        <w:rPr>
          <w:b/>
        </w:rPr>
      </w:pPr>
    </w:p>
    <w:p w14:paraId="599204E1" w14:textId="77777777" w:rsidR="00C33A41" w:rsidRDefault="00C33A41">
      <w:pPr>
        <w:rPr>
          <w:b/>
        </w:rPr>
      </w:pPr>
    </w:p>
    <w:p w14:paraId="51D202CE" w14:textId="77777777" w:rsidR="00C33A41" w:rsidRDefault="007B3952">
      <w:pPr>
        <w:rPr>
          <w:b/>
        </w:rPr>
      </w:pPr>
      <w:r>
        <w:lastRenderedPageBreak/>
        <w:br w:type="page"/>
      </w:r>
    </w:p>
    <w:p w14:paraId="00C2753A" w14:textId="77777777" w:rsidR="00C33A41" w:rsidRDefault="007B3952">
      <w:pPr>
        <w:pStyle w:val="Ttulo1"/>
      </w:pPr>
      <w:bookmarkStart w:id="17" w:name="_heading=h.2jxsxqh" w:colFirst="0" w:colLast="0"/>
      <w:bookmarkEnd w:id="17"/>
      <w:r>
        <w:lastRenderedPageBreak/>
        <w:t>CAPÍTULO 2 - DELINEAMENTO METODOLÓGICO</w:t>
      </w:r>
    </w:p>
    <w:p w14:paraId="3F17E41F" w14:textId="77777777" w:rsidR="00C33A41" w:rsidRDefault="007B3952">
      <w:pPr>
        <w:rPr>
          <w:color w:val="000000"/>
        </w:rPr>
      </w:pPr>
      <w:bookmarkStart w:id="18" w:name="_heading=h.35nkun2" w:colFirst="0" w:colLast="0"/>
      <w:bookmarkEnd w:id="18"/>
      <w:r>
        <w:rPr>
          <w:color w:val="FF0000"/>
        </w:rPr>
        <w:tab/>
      </w:r>
      <w:r>
        <w:rPr>
          <w:color w:val="000000"/>
        </w:rPr>
        <w:t xml:space="preserve">A presente tese faz parte de um estudo mais abrangente, que está sendo desenvolvido pelo Grupo de Trabalho (GT) “Juventude, resiliência e vulnerabilidade” da Associação Nacional de Pesquisa e Pós-Graduação em Psicologia (ANPEPP). </w:t>
      </w:r>
      <w:r>
        <w:rPr>
          <w:color w:val="000000"/>
          <w:highlight w:val="white"/>
        </w:rPr>
        <w:t>O GT é formado por 26 membros, sendo 21 Doutores, 04 Doutorandos e 1 pós-doutoranda e tem representantes das cinco macrorregiões do país (Nordeste, Norte, Centro-Oeste, Sul e Sudeste), bem como 17 instituições de ensino superior.</w:t>
      </w:r>
    </w:p>
    <w:p w14:paraId="12975FFE" w14:textId="77777777" w:rsidR="00C33A41" w:rsidRDefault="007B3952">
      <w:pPr>
        <w:pBdr>
          <w:top w:val="nil"/>
          <w:left w:val="nil"/>
          <w:bottom w:val="nil"/>
          <w:right w:val="nil"/>
          <w:between w:val="nil"/>
        </w:pBdr>
        <w:rPr>
          <w:color w:val="000000"/>
        </w:rPr>
      </w:pPr>
      <w:r>
        <w:rPr>
          <w:color w:val="000000"/>
          <w:highlight w:val="white"/>
        </w:rPr>
        <w:tab/>
        <w:t>Atualmente, o GT conduz uma pesquisa de caráter nacional intitulada “</w:t>
      </w:r>
      <w:r>
        <w:rPr>
          <w:color w:val="000000"/>
        </w:rPr>
        <w:t>Impactos da pandemia Covid-19 no cotidiano de adolescentes brasileiros em situação de vulnerabilidade social”, que</w:t>
      </w:r>
      <w:r>
        <w:rPr>
          <w:color w:val="000000"/>
          <w:highlight w:val="white"/>
        </w:rPr>
        <w:t xml:space="preserve"> tem como objetivo compreender os impactos das experiências da pandemia para o desenvolvimento de adolescentes brasileiros que se encontram em situação de vulnerabilidade social. Dessa forma, a pesquisa apresentada nesta tese configura-se como um desdobramento do referido projeto.</w:t>
      </w:r>
    </w:p>
    <w:p w14:paraId="544A5356" w14:textId="77777777" w:rsidR="00C33A41" w:rsidRDefault="00C33A41">
      <w:pPr>
        <w:rPr>
          <w:b/>
        </w:rPr>
      </w:pPr>
    </w:p>
    <w:p w14:paraId="426BEFB2" w14:textId="77777777" w:rsidR="00C33A41" w:rsidRDefault="007B3952">
      <w:pPr>
        <w:pStyle w:val="Ttulo2"/>
        <w:numPr>
          <w:ilvl w:val="2"/>
          <w:numId w:val="7"/>
        </w:numPr>
      </w:pPr>
      <w:bookmarkStart w:id="19" w:name="_heading=h.3j2qqm3" w:colFirst="0" w:colLast="0"/>
      <w:bookmarkEnd w:id="19"/>
      <w:r>
        <w:t>Objetivos</w:t>
      </w:r>
    </w:p>
    <w:p w14:paraId="41D75741" w14:textId="77777777" w:rsidR="00C33A41" w:rsidRDefault="007B3952">
      <w:pPr>
        <w:ind w:firstLine="720"/>
        <w:rPr>
          <w:highlight w:val="white"/>
        </w:rPr>
      </w:pPr>
      <w:bookmarkStart w:id="20" w:name="_heading=h.44sinio" w:colFirst="0" w:colLast="0"/>
      <w:bookmarkEnd w:id="20"/>
      <w:r>
        <w:rPr>
          <w:color w:val="000000"/>
        </w:rPr>
        <w:t xml:space="preserve">O objetivo </w:t>
      </w:r>
      <w:r>
        <w:t>desta</w:t>
      </w:r>
      <w:r>
        <w:rPr>
          <w:color w:val="000000"/>
        </w:rPr>
        <w:t xml:space="preserve"> tese, em consonância com o estudo multicêntrico, </w:t>
      </w:r>
      <w:r>
        <w:t xml:space="preserve">foi </w:t>
      </w:r>
      <w:r>
        <w:rPr>
          <w:color w:val="000000"/>
          <w:highlight w:val="white"/>
        </w:rPr>
        <w:t>compreender os impactos que a pandemia teve no que se refere a rupturas sociais e relacionais provocadas pela pandemia do COVID-19 na vida de adolescentes em situação de exclusão, especificamente em cumprimento de medida socioeducativa de internação no Brasil, bem como verificar as influências do contexto pandêmico nos seus projetos de vida e expectativas futuras</w:t>
      </w:r>
      <w:r>
        <w:rPr>
          <w:color w:val="FF0000"/>
          <w:highlight w:val="white"/>
        </w:rPr>
        <w:t>.</w:t>
      </w:r>
      <w:r>
        <w:t xml:space="preserve"> Para tanto, foram delimitado</w:t>
      </w:r>
      <w:r>
        <w:rPr>
          <w:color w:val="000000"/>
        </w:rPr>
        <w:t>s os seguintes objetivos específicos:</w:t>
      </w:r>
    </w:p>
    <w:p w14:paraId="7D3B3F69" w14:textId="77777777" w:rsidR="00C33A41" w:rsidRDefault="007B3952">
      <w:pPr>
        <w:numPr>
          <w:ilvl w:val="0"/>
          <w:numId w:val="9"/>
        </w:numPr>
      </w:pPr>
      <w:r>
        <w:t>Averiguar as rupturas sociais desencadeadas pela pandemia (escolas, projetos sociais, espaços culturais e comunitários, entre outros) – Capítulo 3;</w:t>
      </w:r>
    </w:p>
    <w:p w14:paraId="64FCA770" w14:textId="77777777" w:rsidR="00C33A41" w:rsidRDefault="007B3952">
      <w:pPr>
        <w:numPr>
          <w:ilvl w:val="0"/>
          <w:numId w:val="9"/>
        </w:numPr>
      </w:pPr>
      <w:r>
        <w:lastRenderedPageBreak/>
        <w:t>Verificar as rupturas relacionais sofridas durante a pandemia (família, amigos) – Capítulo 3;</w:t>
      </w:r>
    </w:p>
    <w:p w14:paraId="4BB05D1C" w14:textId="77777777" w:rsidR="00C33A41" w:rsidRDefault="007B3952">
      <w:pPr>
        <w:numPr>
          <w:ilvl w:val="0"/>
          <w:numId w:val="9"/>
        </w:numPr>
      </w:pPr>
      <w:r>
        <w:t>Avaliar as possíveis alterações na percepção de projetos de vida existentes antes da pandemia – Capítulo 4;</w:t>
      </w:r>
    </w:p>
    <w:p w14:paraId="47F0EAD1" w14:textId="77777777" w:rsidR="00C33A41" w:rsidRDefault="007B3952">
      <w:pPr>
        <w:numPr>
          <w:ilvl w:val="0"/>
          <w:numId w:val="9"/>
        </w:numPr>
      </w:pPr>
      <w:r>
        <w:t>Analisar quais são as expectativas em relação ao futuro dos adolescentes, no período pós-pandêmico – Capítulo 4.</w:t>
      </w:r>
    </w:p>
    <w:p w14:paraId="006D2022" w14:textId="77777777" w:rsidR="00C33A41" w:rsidRDefault="00C33A41">
      <w:pPr>
        <w:rPr>
          <w:b/>
        </w:rPr>
      </w:pPr>
    </w:p>
    <w:p w14:paraId="75766169" w14:textId="77777777" w:rsidR="00C33A41" w:rsidRDefault="007B3952">
      <w:pPr>
        <w:pStyle w:val="Ttulo2"/>
      </w:pPr>
      <w:bookmarkStart w:id="21" w:name="_heading=h.2xcytpi" w:colFirst="0" w:colLast="0"/>
      <w:bookmarkEnd w:id="21"/>
      <w:r>
        <w:t>2.1.2 Desenho da pesquisa</w:t>
      </w:r>
    </w:p>
    <w:p w14:paraId="5983E7AA" w14:textId="77777777" w:rsidR="00C33A41" w:rsidRDefault="007B3952">
      <w:pPr>
        <w:ind w:firstLine="700"/>
        <w:rPr>
          <w:shd w:val="clear" w:color="auto" w:fill="FAF9F8"/>
        </w:rPr>
      </w:pPr>
      <w:r>
        <w:t xml:space="preserve">Trata-se de um estudo qualitativo, exploratório-descritivo e com delineamento transversal. A escolha pela abordagem qualitativa foi devido a possibilidade de uma compreensão mais aprofundada do que está sendo investigado (Silveira &amp; </w:t>
      </w:r>
      <w:proofErr w:type="spellStart"/>
      <w:r>
        <w:t>Córdova</w:t>
      </w:r>
      <w:proofErr w:type="spellEnd"/>
      <w:r>
        <w:t>, 2009), levando em consideração as vivências pessoais e subjetivas de adolescentes durante o período da pandemia. Além disso, a pesquisa qualitativa tem um âmbito político, envolvendo posições éticas que possibilitam um foco multiparadigmático e viabilizam uma análise que vai além de um diagnóstico (Santos &amp; Greca, 2013). Portanto, essa abordagem se preocupa com a realidade que circundam as dinâmicas envolvidas nas relações sociais, nos significados, crenças e comportamentos dos indivíduos sobre o fenômeno pesquisado (</w:t>
      </w:r>
      <w:proofErr w:type="spellStart"/>
      <w:r>
        <w:t>Minayo</w:t>
      </w:r>
      <w:proofErr w:type="spellEnd"/>
      <w:r>
        <w:t>, 2001).</w:t>
      </w:r>
    </w:p>
    <w:p w14:paraId="345B46FD" w14:textId="77777777" w:rsidR="00C33A41" w:rsidRDefault="007B3952">
      <w:pPr>
        <w:ind w:firstLine="700"/>
      </w:pPr>
      <w:r>
        <w:t>Com relação à modalidade, definiu-se a exploratório-descritiva por viabilizar uma maior familiaridade com relação ao fenômeno e por possibilitar a elaboração de novas hipóteses acerca de um tema que se encontra ainda pouco explorado. Desse modo, seu objetivo central é contribuir com o aprimoramento de ideias ou descobertas sobre a temática investigada. A característica descritiva também permite estabelecer relações entre as variáveis e sua natureza, expondo os aspectos de um determinado fenômeno ou população em um recorte temporal específico e bem delimitado (Gil, 2010).</w:t>
      </w:r>
    </w:p>
    <w:p w14:paraId="2CBF36C5" w14:textId="77777777" w:rsidR="00C33A41" w:rsidRDefault="00C33A41">
      <w:pPr>
        <w:rPr>
          <w:highlight w:val="white"/>
        </w:rPr>
      </w:pPr>
      <w:bookmarkStart w:id="22" w:name="_heading=h.z337ya" w:colFirst="0" w:colLast="0"/>
      <w:bookmarkEnd w:id="22"/>
    </w:p>
    <w:p w14:paraId="3EA4FBC2" w14:textId="77777777" w:rsidR="00C33A41" w:rsidRDefault="007B3952">
      <w:pPr>
        <w:pStyle w:val="Ttulo2"/>
      </w:pPr>
      <w:bookmarkStart w:id="23" w:name="_heading=h.1ci93xb" w:colFirst="0" w:colLast="0"/>
      <w:bookmarkEnd w:id="23"/>
      <w:r>
        <w:t>2.1.3 Participantes e instituições</w:t>
      </w:r>
    </w:p>
    <w:p w14:paraId="5A5B134C" w14:textId="77777777" w:rsidR="00C33A41" w:rsidRDefault="007B3952">
      <w:bookmarkStart w:id="24" w:name="_heading=h.1y810tw" w:colFirst="0" w:colLast="0"/>
      <w:bookmarkEnd w:id="24"/>
      <w:r>
        <w:t xml:space="preserve">Participaram da pesquisa 22 adolescentes residentes em quatro macrorregiões do Brasil (Sudeste, Norte, Sul e Nordeste), com idade entre 16 e 19 anos, expostos a situações de exclusão social e que estavam em cumprimento de medidas socioeducativas de internação no período de pandemia. Todos os participantes são homens cisgênero e mais de 77% se autodeclararam negros. Com relação a escolarização, aproximadamente 80% dos adolescentes encontravam-se matriculados na escola no momento da pesquisa. Entretanto, a maior parte deles não tinham concluído ainda o Ensino Fundamental (45,5%) e nem o Ensino Médio (31,8%). A Tabela 1 sumariza os dados sociodemográficos dos participantes: </w:t>
      </w:r>
    </w:p>
    <w:p w14:paraId="730031EF" w14:textId="77777777" w:rsidR="00C33A41" w:rsidRDefault="00C33A41"/>
    <w:p w14:paraId="69888A2B" w14:textId="77777777" w:rsidR="00C33A41" w:rsidRDefault="007B3952">
      <w:r>
        <w:t>Tabela 1. Caracterização sociodemográfica dos participantes</w:t>
      </w:r>
    </w:p>
    <w:tbl>
      <w:tblPr>
        <w:tblStyle w:val="af1"/>
        <w:tblW w:w="836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6237"/>
        <w:gridCol w:w="1134"/>
        <w:gridCol w:w="993"/>
      </w:tblGrid>
      <w:tr w:rsidR="00C33A41" w14:paraId="505332B4" w14:textId="77777777">
        <w:tc>
          <w:tcPr>
            <w:tcW w:w="6237" w:type="dxa"/>
          </w:tcPr>
          <w:p w14:paraId="3629867D" w14:textId="77777777" w:rsidR="00C33A41" w:rsidRDefault="007B3952">
            <w:pPr>
              <w:jc w:val="center"/>
              <w:rPr>
                <w:b/>
              </w:rPr>
            </w:pPr>
            <w:r>
              <w:rPr>
                <w:b/>
              </w:rPr>
              <w:t>Participantes</w:t>
            </w:r>
          </w:p>
        </w:tc>
        <w:tc>
          <w:tcPr>
            <w:tcW w:w="1134" w:type="dxa"/>
          </w:tcPr>
          <w:p w14:paraId="72192E57" w14:textId="77777777" w:rsidR="00C33A41" w:rsidRDefault="007B3952">
            <w:pPr>
              <w:ind w:firstLine="0"/>
              <w:rPr>
                <w:b/>
              </w:rPr>
            </w:pPr>
            <w:r>
              <w:rPr>
                <w:b/>
              </w:rPr>
              <w:t>Nº</w:t>
            </w:r>
          </w:p>
        </w:tc>
        <w:tc>
          <w:tcPr>
            <w:tcW w:w="993" w:type="dxa"/>
          </w:tcPr>
          <w:p w14:paraId="4B13C401" w14:textId="77777777" w:rsidR="00C33A41" w:rsidRDefault="007B3952">
            <w:pPr>
              <w:ind w:firstLine="0"/>
              <w:rPr>
                <w:b/>
              </w:rPr>
            </w:pPr>
            <w:r>
              <w:rPr>
                <w:b/>
              </w:rPr>
              <w:t>%</w:t>
            </w:r>
          </w:p>
        </w:tc>
      </w:tr>
      <w:tr w:rsidR="00C33A41" w14:paraId="2DFEA7E4" w14:textId="77777777">
        <w:tc>
          <w:tcPr>
            <w:tcW w:w="8364" w:type="dxa"/>
            <w:gridSpan w:val="3"/>
          </w:tcPr>
          <w:p w14:paraId="22CD0327" w14:textId="77777777" w:rsidR="00C33A41" w:rsidRDefault="007B3952">
            <w:pPr>
              <w:rPr>
                <w:b/>
                <w:i/>
              </w:rPr>
            </w:pPr>
            <w:r>
              <w:rPr>
                <w:b/>
                <w:i/>
              </w:rPr>
              <w:t>Idade</w:t>
            </w:r>
          </w:p>
        </w:tc>
      </w:tr>
      <w:tr w:rsidR="00C33A41" w14:paraId="544A6763" w14:textId="77777777">
        <w:tc>
          <w:tcPr>
            <w:tcW w:w="6237" w:type="dxa"/>
          </w:tcPr>
          <w:p w14:paraId="1D7B9C90" w14:textId="77777777" w:rsidR="00C33A41" w:rsidRDefault="007B3952">
            <w:r>
              <w:t>16</w:t>
            </w:r>
          </w:p>
          <w:p w14:paraId="2A3205C6" w14:textId="77777777" w:rsidR="00C33A41" w:rsidRDefault="007B3952">
            <w:r>
              <w:t>17</w:t>
            </w:r>
          </w:p>
          <w:p w14:paraId="5C143F04" w14:textId="77777777" w:rsidR="00C33A41" w:rsidRDefault="007B3952">
            <w:r>
              <w:t>18</w:t>
            </w:r>
          </w:p>
          <w:p w14:paraId="0FC25E3D" w14:textId="77777777" w:rsidR="00C33A41" w:rsidRDefault="007B3952">
            <w:r>
              <w:t>19</w:t>
            </w:r>
          </w:p>
          <w:p w14:paraId="2EA5FF36" w14:textId="77777777" w:rsidR="00C33A41" w:rsidRDefault="007B3952">
            <w:pPr>
              <w:rPr>
                <w:b/>
              </w:rPr>
            </w:pPr>
            <w:r>
              <w:rPr>
                <w:b/>
              </w:rPr>
              <w:t>Total</w:t>
            </w:r>
          </w:p>
        </w:tc>
        <w:tc>
          <w:tcPr>
            <w:tcW w:w="1134" w:type="dxa"/>
          </w:tcPr>
          <w:p w14:paraId="313C852C" w14:textId="77777777" w:rsidR="00C33A41" w:rsidRDefault="007B3952">
            <w:pPr>
              <w:ind w:firstLine="0"/>
              <w:jc w:val="center"/>
            </w:pPr>
            <w:r>
              <w:t>2</w:t>
            </w:r>
          </w:p>
          <w:p w14:paraId="79CDB88E" w14:textId="77777777" w:rsidR="00C33A41" w:rsidRDefault="007B3952">
            <w:pPr>
              <w:ind w:firstLine="0"/>
              <w:jc w:val="center"/>
            </w:pPr>
            <w:r>
              <w:t>10</w:t>
            </w:r>
          </w:p>
          <w:p w14:paraId="642E1C0A" w14:textId="77777777" w:rsidR="00C33A41" w:rsidRDefault="007B3952">
            <w:pPr>
              <w:ind w:firstLine="0"/>
              <w:jc w:val="center"/>
            </w:pPr>
            <w:r>
              <w:t>7</w:t>
            </w:r>
          </w:p>
          <w:p w14:paraId="57F6A098" w14:textId="77777777" w:rsidR="00C33A41" w:rsidRDefault="007B3952">
            <w:pPr>
              <w:ind w:firstLine="0"/>
              <w:jc w:val="center"/>
            </w:pPr>
            <w:r>
              <w:t>3</w:t>
            </w:r>
          </w:p>
          <w:p w14:paraId="2B7BD5D1" w14:textId="77777777" w:rsidR="00C33A41" w:rsidRDefault="007B3952">
            <w:pPr>
              <w:ind w:firstLine="0"/>
              <w:jc w:val="center"/>
              <w:rPr>
                <w:b/>
              </w:rPr>
            </w:pPr>
            <w:r>
              <w:rPr>
                <w:b/>
              </w:rPr>
              <w:t>22</w:t>
            </w:r>
          </w:p>
        </w:tc>
        <w:tc>
          <w:tcPr>
            <w:tcW w:w="993" w:type="dxa"/>
          </w:tcPr>
          <w:p w14:paraId="48C66A4C" w14:textId="77777777" w:rsidR="00C33A41" w:rsidRDefault="007B3952">
            <w:pPr>
              <w:ind w:firstLine="0"/>
              <w:jc w:val="center"/>
            </w:pPr>
            <w:r>
              <w:t>9.1</w:t>
            </w:r>
          </w:p>
          <w:p w14:paraId="7EE8C85D" w14:textId="77777777" w:rsidR="00C33A41" w:rsidRDefault="007B3952">
            <w:pPr>
              <w:ind w:firstLine="0"/>
              <w:jc w:val="center"/>
            </w:pPr>
            <w:r>
              <w:t>45.5</w:t>
            </w:r>
          </w:p>
          <w:p w14:paraId="435B810F" w14:textId="77777777" w:rsidR="00C33A41" w:rsidRDefault="007B3952">
            <w:pPr>
              <w:ind w:firstLine="0"/>
              <w:jc w:val="center"/>
            </w:pPr>
            <w:r>
              <w:t>31.8</w:t>
            </w:r>
          </w:p>
          <w:p w14:paraId="2872FE3B" w14:textId="77777777" w:rsidR="00C33A41" w:rsidRDefault="007B3952">
            <w:pPr>
              <w:ind w:firstLine="0"/>
              <w:jc w:val="center"/>
            </w:pPr>
            <w:r>
              <w:t>13.6</w:t>
            </w:r>
          </w:p>
          <w:p w14:paraId="5E8FF8D8" w14:textId="77777777" w:rsidR="00C33A41" w:rsidRDefault="007B3952">
            <w:pPr>
              <w:ind w:firstLine="0"/>
              <w:jc w:val="center"/>
              <w:rPr>
                <w:b/>
              </w:rPr>
            </w:pPr>
            <w:r>
              <w:rPr>
                <w:b/>
              </w:rPr>
              <w:t>100</w:t>
            </w:r>
          </w:p>
        </w:tc>
      </w:tr>
      <w:tr w:rsidR="00C33A41" w14:paraId="0420543B" w14:textId="77777777">
        <w:tc>
          <w:tcPr>
            <w:tcW w:w="8364" w:type="dxa"/>
            <w:gridSpan w:val="3"/>
          </w:tcPr>
          <w:p w14:paraId="456D108A" w14:textId="77777777" w:rsidR="00C33A41" w:rsidRDefault="007B3952">
            <w:pPr>
              <w:rPr>
                <w:b/>
                <w:i/>
              </w:rPr>
            </w:pPr>
            <w:r>
              <w:rPr>
                <w:b/>
                <w:i/>
              </w:rPr>
              <w:t>Gênero</w:t>
            </w:r>
          </w:p>
        </w:tc>
      </w:tr>
      <w:tr w:rsidR="00C33A41" w14:paraId="602D75AD" w14:textId="77777777">
        <w:tc>
          <w:tcPr>
            <w:tcW w:w="6237" w:type="dxa"/>
          </w:tcPr>
          <w:p w14:paraId="674C0398" w14:textId="77777777" w:rsidR="00C33A41" w:rsidRDefault="007B3952">
            <w:r>
              <w:t>Homem Cisgênero</w:t>
            </w:r>
          </w:p>
          <w:p w14:paraId="6A32C5D8" w14:textId="77777777" w:rsidR="00C33A41" w:rsidRDefault="007B3952">
            <w:pPr>
              <w:rPr>
                <w:b/>
              </w:rPr>
            </w:pPr>
            <w:r>
              <w:rPr>
                <w:b/>
              </w:rPr>
              <w:t>Total</w:t>
            </w:r>
          </w:p>
        </w:tc>
        <w:tc>
          <w:tcPr>
            <w:tcW w:w="1134" w:type="dxa"/>
          </w:tcPr>
          <w:p w14:paraId="38DCD153" w14:textId="77777777" w:rsidR="00C33A41" w:rsidRDefault="007B3952">
            <w:pPr>
              <w:ind w:firstLine="0"/>
              <w:jc w:val="center"/>
            </w:pPr>
            <w:r>
              <w:t>22</w:t>
            </w:r>
          </w:p>
          <w:p w14:paraId="0A573F89" w14:textId="77777777" w:rsidR="00C33A41" w:rsidRDefault="007B3952">
            <w:pPr>
              <w:ind w:firstLine="0"/>
              <w:jc w:val="center"/>
              <w:rPr>
                <w:b/>
              </w:rPr>
            </w:pPr>
            <w:r>
              <w:rPr>
                <w:b/>
              </w:rPr>
              <w:t>22</w:t>
            </w:r>
          </w:p>
        </w:tc>
        <w:tc>
          <w:tcPr>
            <w:tcW w:w="993" w:type="dxa"/>
          </w:tcPr>
          <w:p w14:paraId="502D3134" w14:textId="77777777" w:rsidR="00C33A41" w:rsidRDefault="007B3952">
            <w:pPr>
              <w:ind w:firstLine="0"/>
              <w:jc w:val="center"/>
            </w:pPr>
            <w:r>
              <w:t>100</w:t>
            </w:r>
          </w:p>
          <w:p w14:paraId="70C567D6" w14:textId="77777777" w:rsidR="00C33A41" w:rsidRDefault="007B3952">
            <w:pPr>
              <w:ind w:firstLine="0"/>
              <w:jc w:val="center"/>
              <w:rPr>
                <w:b/>
              </w:rPr>
            </w:pPr>
            <w:r>
              <w:rPr>
                <w:b/>
              </w:rPr>
              <w:t>100</w:t>
            </w:r>
          </w:p>
        </w:tc>
      </w:tr>
      <w:tr w:rsidR="00C33A41" w14:paraId="18AA317D" w14:textId="77777777">
        <w:tc>
          <w:tcPr>
            <w:tcW w:w="8364" w:type="dxa"/>
            <w:gridSpan w:val="3"/>
          </w:tcPr>
          <w:p w14:paraId="4B084E21" w14:textId="77777777" w:rsidR="00C33A41" w:rsidRDefault="007B3952">
            <w:pPr>
              <w:rPr>
                <w:b/>
                <w:i/>
              </w:rPr>
            </w:pPr>
            <w:r>
              <w:rPr>
                <w:b/>
                <w:i/>
              </w:rPr>
              <w:t>Cor/raça</w:t>
            </w:r>
          </w:p>
        </w:tc>
      </w:tr>
      <w:tr w:rsidR="00C33A41" w14:paraId="681F60D4" w14:textId="77777777">
        <w:tc>
          <w:tcPr>
            <w:tcW w:w="6237" w:type="dxa"/>
          </w:tcPr>
          <w:p w14:paraId="543958A8" w14:textId="77777777" w:rsidR="00C33A41" w:rsidRDefault="007B3952">
            <w:r>
              <w:t>Negro</w:t>
            </w:r>
          </w:p>
          <w:p w14:paraId="370B137A" w14:textId="77777777" w:rsidR="00C33A41" w:rsidRDefault="007B3952">
            <w:r>
              <w:t>Pardo</w:t>
            </w:r>
          </w:p>
          <w:p w14:paraId="3EF6FF1F" w14:textId="77777777" w:rsidR="00C33A41" w:rsidRDefault="007B3952">
            <w:r>
              <w:t>Branco</w:t>
            </w:r>
          </w:p>
          <w:p w14:paraId="24A60CE6" w14:textId="77777777" w:rsidR="00C33A41" w:rsidRDefault="007B3952">
            <w:pPr>
              <w:rPr>
                <w:b/>
              </w:rPr>
            </w:pPr>
            <w:r>
              <w:rPr>
                <w:b/>
              </w:rPr>
              <w:t>Total</w:t>
            </w:r>
          </w:p>
        </w:tc>
        <w:tc>
          <w:tcPr>
            <w:tcW w:w="1134" w:type="dxa"/>
          </w:tcPr>
          <w:p w14:paraId="114995B8" w14:textId="77777777" w:rsidR="00C33A41" w:rsidRDefault="007B3952">
            <w:pPr>
              <w:ind w:firstLine="0"/>
              <w:jc w:val="center"/>
            </w:pPr>
            <w:r>
              <w:t>8</w:t>
            </w:r>
          </w:p>
          <w:p w14:paraId="4F01763B" w14:textId="77777777" w:rsidR="00C33A41" w:rsidRDefault="007B3952">
            <w:pPr>
              <w:ind w:firstLine="0"/>
              <w:jc w:val="center"/>
            </w:pPr>
            <w:r>
              <w:t>9</w:t>
            </w:r>
          </w:p>
          <w:p w14:paraId="06218CBB" w14:textId="77777777" w:rsidR="00C33A41" w:rsidRDefault="007B3952">
            <w:pPr>
              <w:ind w:firstLine="0"/>
              <w:jc w:val="center"/>
            </w:pPr>
            <w:r>
              <w:t>5</w:t>
            </w:r>
          </w:p>
          <w:p w14:paraId="5020867F" w14:textId="77777777" w:rsidR="00C33A41" w:rsidRDefault="007B3952">
            <w:pPr>
              <w:ind w:firstLine="0"/>
              <w:jc w:val="center"/>
              <w:rPr>
                <w:b/>
              </w:rPr>
            </w:pPr>
            <w:r>
              <w:rPr>
                <w:b/>
              </w:rPr>
              <w:t>22</w:t>
            </w:r>
          </w:p>
        </w:tc>
        <w:tc>
          <w:tcPr>
            <w:tcW w:w="993" w:type="dxa"/>
          </w:tcPr>
          <w:p w14:paraId="0AD4A88E" w14:textId="77777777" w:rsidR="00C33A41" w:rsidRDefault="007B3952">
            <w:pPr>
              <w:ind w:firstLine="0"/>
              <w:jc w:val="center"/>
            </w:pPr>
            <w:r>
              <w:t>36.4</w:t>
            </w:r>
          </w:p>
          <w:p w14:paraId="1B531113" w14:textId="77777777" w:rsidR="00C33A41" w:rsidRDefault="007B3952">
            <w:pPr>
              <w:ind w:firstLine="0"/>
              <w:jc w:val="center"/>
            </w:pPr>
            <w:r>
              <w:t>40.9</w:t>
            </w:r>
          </w:p>
          <w:p w14:paraId="5CC2D64D" w14:textId="77777777" w:rsidR="00C33A41" w:rsidRDefault="007B3952">
            <w:pPr>
              <w:ind w:firstLine="0"/>
              <w:jc w:val="center"/>
            </w:pPr>
            <w:r>
              <w:t>22.7</w:t>
            </w:r>
          </w:p>
          <w:p w14:paraId="39A41DFE" w14:textId="77777777" w:rsidR="00C33A41" w:rsidRDefault="007B3952">
            <w:pPr>
              <w:ind w:firstLine="0"/>
              <w:jc w:val="center"/>
              <w:rPr>
                <w:b/>
              </w:rPr>
            </w:pPr>
            <w:r>
              <w:rPr>
                <w:b/>
              </w:rPr>
              <w:t>100</w:t>
            </w:r>
          </w:p>
        </w:tc>
      </w:tr>
      <w:tr w:rsidR="00C33A41" w14:paraId="27086A53" w14:textId="77777777">
        <w:tc>
          <w:tcPr>
            <w:tcW w:w="8364" w:type="dxa"/>
            <w:gridSpan w:val="3"/>
          </w:tcPr>
          <w:p w14:paraId="16D290C4" w14:textId="77777777" w:rsidR="00C33A41" w:rsidRDefault="007B3952">
            <w:pPr>
              <w:rPr>
                <w:b/>
                <w:i/>
              </w:rPr>
            </w:pPr>
            <w:r>
              <w:rPr>
                <w:b/>
                <w:i/>
              </w:rPr>
              <w:t>Matriculados na escola</w:t>
            </w:r>
          </w:p>
        </w:tc>
      </w:tr>
      <w:tr w:rsidR="00C33A41" w14:paraId="491CED6D" w14:textId="77777777">
        <w:tc>
          <w:tcPr>
            <w:tcW w:w="6237" w:type="dxa"/>
          </w:tcPr>
          <w:p w14:paraId="08E3B1B2" w14:textId="77777777" w:rsidR="00C33A41" w:rsidRDefault="007B3952">
            <w:r>
              <w:t>Sim</w:t>
            </w:r>
          </w:p>
          <w:p w14:paraId="2224AE57" w14:textId="77777777" w:rsidR="00C33A41" w:rsidRDefault="007B3952">
            <w:r>
              <w:t>Não</w:t>
            </w:r>
          </w:p>
          <w:p w14:paraId="74410DAE" w14:textId="77777777" w:rsidR="00C33A41" w:rsidRDefault="007B3952">
            <w:r>
              <w:t>Não soube informar</w:t>
            </w:r>
          </w:p>
          <w:p w14:paraId="7EB6B063" w14:textId="77777777" w:rsidR="00C33A41" w:rsidRDefault="007B3952">
            <w:pPr>
              <w:rPr>
                <w:b/>
              </w:rPr>
            </w:pPr>
            <w:r>
              <w:rPr>
                <w:b/>
              </w:rPr>
              <w:t>Total</w:t>
            </w:r>
          </w:p>
        </w:tc>
        <w:tc>
          <w:tcPr>
            <w:tcW w:w="1134" w:type="dxa"/>
          </w:tcPr>
          <w:p w14:paraId="4199C09F" w14:textId="77777777" w:rsidR="00C33A41" w:rsidRDefault="007B3952">
            <w:pPr>
              <w:ind w:firstLine="0"/>
              <w:jc w:val="center"/>
            </w:pPr>
            <w:r>
              <w:t>18</w:t>
            </w:r>
          </w:p>
          <w:p w14:paraId="427F7AF0" w14:textId="77777777" w:rsidR="00C33A41" w:rsidRDefault="007B3952">
            <w:pPr>
              <w:ind w:firstLine="0"/>
              <w:jc w:val="center"/>
            </w:pPr>
            <w:r>
              <w:t>2</w:t>
            </w:r>
          </w:p>
          <w:p w14:paraId="2F9C2799" w14:textId="77777777" w:rsidR="00C33A41" w:rsidRDefault="007B3952">
            <w:pPr>
              <w:ind w:firstLine="0"/>
              <w:jc w:val="center"/>
            </w:pPr>
            <w:r>
              <w:t>2</w:t>
            </w:r>
          </w:p>
          <w:p w14:paraId="14A7ED54" w14:textId="77777777" w:rsidR="00C33A41" w:rsidRDefault="007B3952">
            <w:pPr>
              <w:ind w:firstLine="0"/>
              <w:jc w:val="center"/>
              <w:rPr>
                <w:b/>
              </w:rPr>
            </w:pPr>
            <w:r>
              <w:rPr>
                <w:b/>
              </w:rPr>
              <w:t>22</w:t>
            </w:r>
          </w:p>
        </w:tc>
        <w:tc>
          <w:tcPr>
            <w:tcW w:w="993" w:type="dxa"/>
          </w:tcPr>
          <w:p w14:paraId="094873B4" w14:textId="77777777" w:rsidR="00C33A41" w:rsidRDefault="007B3952">
            <w:pPr>
              <w:ind w:firstLine="0"/>
              <w:jc w:val="center"/>
            </w:pPr>
            <w:r>
              <w:t>81.8</w:t>
            </w:r>
          </w:p>
          <w:p w14:paraId="3B8B7F1B" w14:textId="77777777" w:rsidR="00C33A41" w:rsidRDefault="007B3952">
            <w:pPr>
              <w:ind w:firstLine="0"/>
              <w:jc w:val="center"/>
            </w:pPr>
            <w:r>
              <w:t>9.1</w:t>
            </w:r>
          </w:p>
          <w:p w14:paraId="719809EB" w14:textId="77777777" w:rsidR="00C33A41" w:rsidRDefault="007B3952">
            <w:pPr>
              <w:ind w:firstLine="0"/>
              <w:jc w:val="center"/>
            </w:pPr>
            <w:r>
              <w:t>9.1</w:t>
            </w:r>
          </w:p>
          <w:p w14:paraId="70C177C6" w14:textId="77777777" w:rsidR="00C33A41" w:rsidRDefault="007B3952">
            <w:pPr>
              <w:ind w:firstLine="0"/>
              <w:jc w:val="center"/>
              <w:rPr>
                <w:b/>
              </w:rPr>
            </w:pPr>
            <w:r>
              <w:rPr>
                <w:b/>
              </w:rPr>
              <w:t>100</w:t>
            </w:r>
          </w:p>
        </w:tc>
      </w:tr>
      <w:tr w:rsidR="00C33A41" w14:paraId="5FA5BF41" w14:textId="77777777">
        <w:tc>
          <w:tcPr>
            <w:tcW w:w="8364" w:type="dxa"/>
            <w:gridSpan w:val="3"/>
          </w:tcPr>
          <w:p w14:paraId="75CD4A3B" w14:textId="77777777" w:rsidR="00C33A41" w:rsidRDefault="007B3952">
            <w:pPr>
              <w:rPr>
                <w:b/>
                <w:i/>
              </w:rPr>
            </w:pPr>
            <w:r>
              <w:rPr>
                <w:b/>
                <w:i/>
              </w:rPr>
              <w:t>Escolaridade (nível de ensino)</w:t>
            </w:r>
          </w:p>
        </w:tc>
      </w:tr>
      <w:tr w:rsidR="00C33A41" w14:paraId="1D796747" w14:textId="77777777">
        <w:tc>
          <w:tcPr>
            <w:tcW w:w="6237" w:type="dxa"/>
          </w:tcPr>
          <w:p w14:paraId="74A70A2F" w14:textId="77777777" w:rsidR="00C33A41" w:rsidRDefault="007B3952">
            <w:r>
              <w:t>Fundamental Incompleto</w:t>
            </w:r>
          </w:p>
          <w:p w14:paraId="473EAAA7" w14:textId="77777777" w:rsidR="00C33A41" w:rsidRDefault="007B3952">
            <w:r>
              <w:t>Fundamental Completo</w:t>
            </w:r>
          </w:p>
          <w:p w14:paraId="4A25B2FE" w14:textId="77777777" w:rsidR="00C33A41" w:rsidRDefault="007B3952">
            <w:r>
              <w:lastRenderedPageBreak/>
              <w:t xml:space="preserve">Médio Incompleto </w:t>
            </w:r>
          </w:p>
          <w:p w14:paraId="23508A73" w14:textId="77777777" w:rsidR="00C33A41" w:rsidRDefault="007B3952">
            <w:r>
              <w:t>Médio Completo</w:t>
            </w:r>
          </w:p>
          <w:p w14:paraId="63DC1EE3" w14:textId="77777777" w:rsidR="00C33A41" w:rsidRDefault="007B3952">
            <w:r>
              <w:t>Não soube informar</w:t>
            </w:r>
          </w:p>
          <w:p w14:paraId="0E99E4C0" w14:textId="77777777" w:rsidR="00C33A41" w:rsidRDefault="007B3952">
            <w:pPr>
              <w:rPr>
                <w:b/>
              </w:rPr>
            </w:pPr>
            <w:r>
              <w:rPr>
                <w:b/>
              </w:rPr>
              <w:t>Total</w:t>
            </w:r>
          </w:p>
        </w:tc>
        <w:tc>
          <w:tcPr>
            <w:tcW w:w="1134" w:type="dxa"/>
          </w:tcPr>
          <w:p w14:paraId="40E95E03" w14:textId="77777777" w:rsidR="00C33A41" w:rsidRDefault="007B3952">
            <w:pPr>
              <w:ind w:firstLine="0"/>
              <w:jc w:val="center"/>
            </w:pPr>
            <w:r>
              <w:lastRenderedPageBreak/>
              <w:t>10</w:t>
            </w:r>
          </w:p>
          <w:p w14:paraId="53C85EC6" w14:textId="77777777" w:rsidR="00C33A41" w:rsidRDefault="007B3952">
            <w:pPr>
              <w:ind w:firstLine="0"/>
              <w:jc w:val="center"/>
            </w:pPr>
            <w:r>
              <w:t>1</w:t>
            </w:r>
          </w:p>
          <w:p w14:paraId="48E8A8EC" w14:textId="77777777" w:rsidR="00C33A41" w:rsidRDefault="007B3952">
            <w:pPr>
              <w:ind w:firstLine="0"/>
              <w:jc w:val="center"/>
            </w:pPr>
            <w:r>
              <w:lastRenderedPageBreak/>
              <w:t>7</w:t>
            </w:r>
          </w:p>
          <w:p w14:paraId="20A53B28" w14:textId="77777777" w:rsidR="00C33A41" w:rsidRDefault="007B3952">
            <w:pPr>
              <w:ind w:firstLine="0"/>
              <w:jc w:val="center"/>
            </w:pPr>
            <w:r>
              <w:t>2</w:t>
            </w:r>
          </w:p>
          <w:p w14:paraId="7DDB23B3" w14:textId="77777777" w:rsidR="00C33A41" w:rsidRDefault="007B3952">
            <w:pPr>
              <w:ind w:firstLine="0"/>
              <w:jc w:val="center"/>
            </w:pPr>
            <w:r>
              <w:t>2</w:t>
            </w:r>
          </w:p>
          <w:p w14:paraId="5AF596BE" w14:textId="77777777" w:rsidR="00C33A41" w:rsidRDefault="007B3952">
            <w:pPr>
              <w:ind w:firstLine="0"/>
              <w:jc w:val="center"/>
              <w:rPr>
                <w:b/>
              </w:rPr>
            </w:pPr>
            <w:r>
              <w:rPr>
                <w:b/>
              </w:rPr>
              <w:t>22</w:t>
            </w:r>
          </w:p>
        </w:tc>
        <w:tc>
          <w:tcPr>
            <w:tcW w:w="993" w:type="dxa"/>
          </w:tcPr>
          <w:p w14:paraId="1AA4D583" w14:textId="77777777" w:rsidR="00C33A41" w:rsidRDefault="007B3952">
            <w:pPr>
              <w:ind w:firstLine="0"/>
              <w:jc w:val="center"/>
            </w:pPr>
            <w:r>
              <w:lastRenderedPageBreak/>
              <w:t>45.5</w:t>
            </w:r>
          </w:p>
          <w:p w14:paraId="409FB7F0" w14:textId="77777777" w:rsidR="00C33A41" w:rsidRDefault="007B3952">
            <w:pPr>
              <w:ind w:firstLine="0"/>
              <w:jc w:val="center"/>
            </w:pPr>
            <w:r>
              <w:t>4.5</w:t>
            </w:r>
          </w:p>
          <w:p w14:paraId="4A60589D" w14:textId="77777777" w:rsidR="00C33A41" w:rsidRDefault="007B3952">
            <w:pPr>
              <w:ind w:firstLine="0"/>
              <w:jc w:val="center"/>
            </w:pPr>
            <w:r>
              <w:lastRenderedPageBreak/>
              <w:t>31.8</w:t>
            </w:r>
          </w:p>
          <w:p w14:paraId="6D34647C" w14:textId="77777777" w:rsidR="00C33A41" w:rsidRDefault="007B3952">
            <w:pPr>
              <w:ind w:firstLine="0"/>
              <w:jc w:val="center"/>
            </w:pPr>
            <w:r>
              <w:t>9.1</w:t>
            </w:r>
          </w:p>
          <w:p w14:paraId="0DFFE701" w14:textId="77777777" w:rsidR="00C33A41" w:rsidRDefault="007B3952">
            <w:pPr>
              <w:ind w:firstLine="0"/>
              <w:jc w:val="center"/>
            </w:pPr>
            <w:r>
              <w:t>9.1</w:t>
            </w:r>
          </w:p>
          <w:p w14:paraId="2D4DD1E1" w14:textId="77777777" w:rsidR="00C33A41" w:rsidRDefault="007B3952">
            <w:pPr>
              <w:ind w:firstLine="0"/>
              <w:jc w:val="center"/>
              <w:rPr>
                <w:b/>
              </w:rPr>
            </w:pPr>
            <w:r>
              <w:rPr>
                <w:b/>
              </w:rPr>
              <w:t>100</w:t>
            </w:r>
          </w:p>
        </w:tc>
      </w:tr>
      <w:tr w:rsidR="00C33A41" w14:paraId="098D8F16" w14:textId="77777777">
        <w:tc>
          <w:tcPr>
            <w:tcW w:w="8364" w:type="dxa"/>
            <w:gridSpan w:val="3"/>
          </w:tcPr>
          <w:p w14:paraId="557BCDA8" w14:textId="77777777" w:rsidR="00C33A41" w:rsidRDefault="007B3952">
            <w:pPr>
              <w:rPr>
                <w:b/>
                <w:i/>
              </w:rPr>
            </w:pPr>
            <w:r>
              <w:rPr>
                <w:b/>
                <w:i/>
              </w:rPr>
              <w:lastRenderedPageBreak/>
              <w:t>Região do país</w:t>
            </w:r>
          </w:p>
        </w:tc>
      </w:tr>
      <w:tr w:rsidR="00C33A41" w14:paraId="6913F312" w14:textId="77777777">
        <w:tc>
          <w:tcPr>
            <w:tcW w:w="6237" w:type="dxa"/>
          </w:tcPr>
          <w:p w14:paraId="16B6E56F" w14:textId="77777777" w:rsidR="00C33A41" w:rsidRDefault="007B3952">
            <w:r>
              <w:t>Sudeste</w:t>
            </w:r>
          </w:p>
          <w:p w14:paraId="018C8DC6" w14:textId="77777777" w:rsidR="00C33A41" w:rsidRDefault="007B3952">
            <w:r>
              <w:t>Norte</w:t>
            </w:r>
          </w:p>
          <w:p w14:paraId="08278C1F" w14:textId="77777777" w:rsidR="00C33A41" w:rsidRDefault="007B3952">
            <w:r>
              <w:t xml:space="preserve">Sul </w:t>
            </w:r>
          </w:p>
          <w:p w14:paraId="703734A9" w14:textId="77777777" w:rsidR="00C33A41" w:rsidRDefault="007B3952">
            <w:r>
              <w:t>Nordeste</w:t>
            </w:r>
          </w:p>
          <w:p w14:paraId="10EC33F7" w14:textId="77777777" w:rsidR="00C33A41" w:rsidRDefault="007B3952">
            <w:pPr>
              <w:rPr>
                <w:b/>
              </w:rPr>
            </w:pPr>
            <w:r>
              <w:rPr>
                <w:b/>
              </w:rPr>
              <w:t>Total</w:t>
            </w:r>
          </w:p>
        </w:tc>
        <w:tc>
          <w:tcPr>
            <w:tcW w:w="1134" w:type="dxa"/>
          </w:tcPr>
          <w:p w14:paraId="5092507D" w14:textId="77777777" w:rsidR="00C33A41" w:rsidRDefault="007B3952">
            <w:pPr>
              <w:ind w:firstLine="0"/>
              <w:jc w:val="center"/>
            </w:pPr>
            <w:r>
              <w:t>5</w:t>
            </w:r>
          </w:p>
          <w:p w14:paraId="1826A95F" w14:textId="77777777" w:rsidR="00C33A41" w:rsidRDefault="007B3952">
            <w:pPr>
              <w:ind w:firstLine="0"/>
              <w:jc w:val="center"/>
            </w:pPr>
            <w:r>
              <w:t>4</w:t>
            </w:r>
          </w:p>
          <w:p w14:paraId="1E3C72D0" w14:textId="77777777" w:rsidR="00C33A41" w:rsidRDefault="007B3952">
            <w:pPr>
              <w:ind w:firstLine="0"/>
              <w:jc w:val="center"/>
            </w:pPr>
            <w:r>
              <w:t>7</w:t>
            </w:r>
          </w:p>
          <w:p w14:paraId="100D4C1D" w14:textId="77777777" w:rsidR="00C33A41" w:rsidRDefault="007B3952">
            <w:pPr>
              <w:ind w:firstLine="0"/>
              <w:jc w:val="center"/>
            </w:pPr>
            <w:r>
              <w:t>6</w:t>
            </w:r>
          </w:p>
          <w:p w14:paraId="692DB100" w14:textId="77777777" w:rsidR="00C33A41" w:rsidRDefault="007B3952">
            <w:pPr>
              <w:ind w:firstLine="0"/>
              <w:jc w:val="center"/>
              <w:rPr>
                <w:b/>
              </w:rPr>
            </w:pPr>
            <w:r>
              <w:rPr>
                <w:b/>
              </w:rPr>
              <w:t>22</w:t>
            </w:r>
          </w:p>
        </w:tc>
        <w:tc>
          <w:tcPr>
            <w:tcW w:w="993" w:type="dxa"/>
          </w:tcPr>
          <w:p w14:paraId="18EC3D3F" w14:textId="77777777" w:rsidR="00C33A41" w:rsidRDefault="007B3952">
            <w:pPr>
              <w:ind w:firstLine="0"/>
              <w:jc w:val="center"/>
            </w:pPr>
            <w:r>
              <w:t>22.7</w:t>
            </w:r>
          </w:p>
          <w:p w14:paraId="39F6511C" w14:textId="77777777" w:rsidR="00C33A41" w:rsidRDefault="007B3952">
            <w:pPr>
              <w:ind w:firstLine="0"/>
              <w:jc w:val="center"/>
            </w:pPr>
            <w:r>
              <w:t>18.2</w:t>
            </w:r>
          </w:p>
          <w:p w14:paraId="399273FE" w14:textId="77777777" w:rsidR="00C33A41" w:rsidRDefault="007B3952">
            <w:pPr>
              <w:ind w:firstLine="0"/>
              <w:jc w:val="center"/>
            </w:pPr>
            <w:r>
              <w:t>31.8</w:t>
            </w:r>
          </w:p>
          <w:p w14:paraId="4278A26D" w14:textId="77777777" w:rsidR="00C33A41" w:rsidRDefault="007B3952">
            <w:pPr>
              <w:ind w:firstLine="0"/>
              <w:jc w:val="center"/>
            </w:pPr>
            <w:r>
              <w:t>27.3</w:t>
            </w:r>
          </w:p>
          <w:p w14:paraId="28FC108E" w14:textId="77777777" w:rsidR="00C33A41" w:rsidRDefault="007B3952">
            <w:pPr>
              <w:ind w:firstLine="0"/>
              <w:jc w:val="center"/>
              <w:rPr>
                <w:b/>
              </w:rPr>
            </w:pPr>
            <w:r>
              <w:rPr>
                <w:b/>
              </w:rPr>
              <w:t>100</w:t>
            </w:r>
          </w:p>
        </w:tc>
      </w:tr>
    </w:tbl>
    <w:p w14:paraId="3D60F16D" w14:textId="77777777" w:rsidR="00C33A41" w:rsidRDefault="007B3952">
      <w:pPr>
        <w:rPr>
          <w:color w:val="FF0000"/>
          <w:sz w:val="22"/>
          <w:szCs w:val="22"/>
        </w:rPr>
      </w:pPr>
      <w:r>
        <w:t> Fonte: pesquisa de campo (2023)</w:t>
      </w:r>
    </w:p>
    <w:p w14:paraId="4B1AAE0D" w14:textId="77777777" w:rsidR="00C33A41" w:rsidRDefault="00C33A41">
      <w:pPr>
        <w:ind w:firstLine="700"/>
      </w:pPr>
    </w:p>
    <w:p w14:paraId="5993FF30" w14:textId="77777777" w:rsidR="00C33A41" w:rsidRDefault="007B3952">
      <w:pPr>
        <w:ind w:firstLine="700"/>
      </w:pPr>
      <w:bookmarkStart w:id="25" w:name="_heading=h.4i7ojhp" w:colFirst="0" w:colLast="0"/>
      <w:bookmarkEnd w:id="25"/>
      <w:r>
        <w:t>Como critério de inclusão, definiu-se: i) estar em atendimento em um programa de medida socioeducativa de internação nos dois primeiros anos da pandemia (entre março de 2020 e dezembro de 2021); ii) recrutar, preferencialmente, os adolescentes que estivessem a mais tempo em cumprimento da medida ou casos de reincidência durante a pandemia; e iii) apresentar o Termo de Assentimento (TA). Quanto aos critérios de exclusão, foram delimitados: i) estar sob efeito de substâncias psicoativas durante a aplicação dos instrumentos; e ii) apresentar comprometimento cognitivo que impedia o adolescente participar da pesquisa.</w:t>
      </w:r>
    </w:p>
    <w:p w14:paraId="1DB1C5CE" w14:textId="77777777" w:rsidR="00C33A41" w:rsidRDefault="007B3952">
      <w:pPr>
        <w:ind w:firstLine="700"/>
      </w:pPr>
      <w:r>
        <w:t>Os participantes foram recrutados a partir do contato com as instituições que realizam o acompanhamento da medida de internação à população referida, como a Fundação Casa (São Paulo), Fundação de Atendimento Sócio-Educativo – FASE (Rio Grande do Sul), Comunidades de Atendimento Socioeducativo – Case (Bahia), entre outros.</w:t>
      </w:r>
    </w:p>
    <w:p w14:paraId="47FE42DB" w14:textId="77777777" w:rsidR="00C33A41" w:rsidRDefault="00C33A41">
      <w:pPr>
        <w:rPr>
          <w:color w:val="FF0000"/>
        </w:rPr>
      </w:pPr>
    </w:p>
    <w:p w14:paraId="0057AF4B" w14:textId="77777777" w:rsidR="00C33A41" w:rsidRDefault="007B3952">
      <w:pPr>
        <w:pStyle w:val="Ttulo2"/>
      </w:pPr>
      <w:bookmarkStart w:id="26" w:name="_heading=h.2bn6wsx" w:colFirst="0" w:colLast="0"/>
      <w:bookmarkEnd w:id="26"/>
      <w:r>
        <w:t>2.1.4 Instrumentos</w:t>
      </w:r>
    </w:p>
    <w:p w14:paraId="3EEC7AA8" w14:textId="77777777" w:rsidR="00C33A41" w:rsidRDefault="007B3952">
      <w:bookmarkStart w:id="27" w:name="_heading=h.3whwml4" w:colFirst="0" w:colLast="0"/>
      <w:bookmarkEnd w:id="27"/>
      <w:r>
        <w:tab/>
      </w:r>
      <w:r>
        <w:rPr>
          <w:i/>
        </w:rPr>
        <w:t>Questionário de caracterização</w:t>
      </w:r>
      <w:r>
        <w:t xml:space="preserve"> (Anexo C): elaborado especificamente para esta pesquisa e foi composto por duas partes: 1) Dados sociodemográficos – teve como objetivo obter informações sobre as características sociodemográficas dos participantes </w:t>
      </w:r>
      <w:r>
        <w:lastRenderedPageBreak/>
        <w:t>(idade, gênero, etnia, escolaridade, entre outros); e 2) Dados sobre exposição ao Covid-19 – constituído por itens cujas respostas são dicotômicas (Sim ou Não) e cujo o foco desta parte do instrumento é a identificação da exposição do adolescentes ao vírus e suas consequências (exemplos: fez algum teste, foi contaminado, conhece alguém que testou positivo, perdeu algum familiar, foi orientado para o autocuidado).</w:t>
      </w:r>
    </w:p>
    <w:p w14:paraId="112A5188" w14:textId="77777777" w:rsidR="00C33A41" w:rsidRDefault="007B3952">
      <w:pPr>
        <w:ind w:firstLine="700"/>
      </w:pPr>
      <w:r>
        <w:rPr>
          <w:i/>
        </w:rPr>
        <w:t>Entrevista semiestruturada</w:t>
      </w:r>
      <w:r>
        <w:t xml:space="preserve"> (Anexo D): o roteiro de entrevista foi formado por questões que buscaram compreender as experiências dos adolescentes em situação de vulnerabilidade social resultantes da exposição à pandemia do Covid-19. Esta técnica propicia a descrição, a explicação e a compreensão do fenômeno investigado na sua totalidade, além de permitir o surgimento de novos conteúdos diante das respostas recebidas (</w:t>
      </w:r>
      <w:proofErr w:type="spellStart"/>
      <w:r>
        <w:t>Minayo</w:t>
      </w:r>
      <w:proofErr w:type="spellEnd"/>
      <w:r>
        <w:t>, 2010). No caso desta pesquisa, o roteiro da entrevista foi organizado a partir de 5 pontos centrais: 1) percepções dos adolescentes sobre a pandemia; 2) alterações e os impactos da pandemia no cotidiano e no modo de vida; 3) função da rede de apoio afetiva e social para auxiliá-los durante a pandemia; 4) estratégias de enfrentamento que os participantes utilizaram; e 5) expectativas em relação ao futuro após a pandemia. Destaca-se, ainda, a existência de um sexto ponto relacionado ao luto, entretanto, as questões somente foram feitas para adolescentes que relataram ter perdido um ente querido devido ao Covid-19.</w:t>
      </w:r>
    </w:p>
    <w:p w14:paraId="1F868FBF" w14:textId="77777777" w:rsidR="00C33A41" w:rsidRDefault="007B3952">
      <w:pPr>
        <w:ind w:firstLine="700"/>
      </w:pPr>
      <w:r>
        <w:rPr>
          <w:i/>
        </w:rPr>
        <w:t>Questionário de Projeto de Vida</w:t>
      </w:r>
      <w:r>
        <w:t xml:space="preserve"> (Anexo E): Trata-se de um questionário criado por </w:t>
      </w:r>
      <w:proofErr w:type="spellStart"/>
      <w:r>
        <w:t>Coscioni</w:t>
      </w:r>
      <w:proofErr w:type="spellEnd"/>
      <w:r>
        <w:t xml:space="preserve"> (2021) que acede a indicadores relativos ao conteúdo e grau de estruturação dos projetos de vida, compreendido como "um processo em contínua evolução, constituído pela formação, execução e manutenção de estruturas e ações intencionais, que, em conjunto, formam uma narrativa significativa e prospectiva de longo prazo, capaz de incitar decisões e esforços na vida cotidiana" (</w:t>
      </w:r>
      <w:proofErr w:type="spellStart"/>
      <w:r>
        <w:t>Coscioni</w:t>
      </w:r>
      <w:proofErr w:type="spellEnd"/>
      <w:r>
        <w:t xml:space="preserve">, 2021, p. 244). O questionário possui duas etapas. Na primeira, os participantes listam as metas que possuem em relação </w:t>
      </w:r>
      <w:r>
        <w:lastRenderedPageBreak/>
        <w:t>aos seus projetos de vida. Posteriormente, indicam a idade que acreditam que terão quando atingirem tais metas. A partir desta tarefa, é possível acessar o conteúdo das metas dos participantes, bem como a extensão (i.e., o quão distante no futuro as metas estão situadas) e a densidade (i.e., o número de metas listadas). Na segunda tarefa, os participantes respondem uma escala de sete pontos, variando de 1 (discordo totalmente) a 7 (concordo totalmente). A escala possui oito itens que discriminam dois fatores, cada um com quatro itens. O primeiro fator, identificação, mede o grau de clareza a respeito do futuro intencionado. O segundo fator, envolvimento, avalia o grau com que os projetos de vida mobilizam ações e planos no presente.</w:t>
      </w:r>
    </w:p>
    <w:p w14:paraId="084554DA" w14:textId="77777777" w:rsidR="00C33A41" w:rsidRDefault="00C33A41">
      <w:pPr>
        <w:ind w:firstLine="700"/>
      </w:pPr>
    </w:p>
    <w:p w14:paraId="66D4E717" w14:textId="77777777" w:rsidR="00C33A41" w:rsidRDefault="007B3952">
      <w:pPr>
        <w:pStyle w:val="Ttulo2"/>
      </w:pPr>
      <w:bookmarkStart w:id="28" w:name="_heading=h.qsh70q" w:colFirst="0" w:colLast="0"/>
      <w:bookmarkEnd w:id="28"/>
      <w:r>
        <w:t>2.1.5 Procedimentos de coleta de dados</w:t>
      </w:r>
    </w:p>
    <w:p w14:paraId="10B24A87" w14:textId="77777777" w:rsidR="00C33A41" w:rsidRDefault="007B3952">
      <w:pPr>
        <w:ind w:firstLine="700"/>
      </w:pPr>
      <w:r>
        <w:t>Os participantes foram recrutados através de contatos com as instituições que são responsáveis pela aplicação de medidas socioeducativas de internação nas diferentes regiões do Brasil, portanto, que estão vinculadas aos estados da Federação. Inicialmente, cada equipe das diferentes regiões do país, seguindo as normativas de cada estado, obtiveram as autorizações judiciais para o contato com as unidades de internação e os adolescentes. Após autorização judiciais e institucionais, os pesquisadores entraram em contato com os adolescentes que se mostraram interessados em participar do estudo, quando foram explicados os seus objetivos, seus riscos e benefícios, bem como a voluntariedade da participação e a necessidade de que o(a) participante fornecesse o seu consentimento ou não para participar.</w:t>
      </w:r>
    </w:p>
    <w:p w14:paraId="22E1E979" w14:textId="77777777" w:rsidR="00C33A41" w:rsidRDefault="007B3952">
      <w:pPr>
        <w:ind w:firstLine="700"/>
      </w:pPr>
      <w:r>
        <w:t xml:space="preserve">Com relação a coleta dos dados (que foi realizada em cada estado por uma equipe de pesquisa vinculado ao projeto nacional), a aplicação dos instrumentos se deu em um único encontro e ocorreu presencialmente. O contato com os participantes foi estabelecido de forma individual, com data e horário previamente agendados e em um </w:t>
      </w:r>
      <w:r>
        <w:lastRenderedPageBreak/>
        <w:t>local que garantiu a segurança dos participantes. Os encontros tiveram a duração de aproximadamente 40-60 minutos e foram áudio-gravados. Todas as recomendações de saúde foram rigorosamente seguidas, de modo a garantir a integridade dos participantes e dos pesquisadores.</w:t>
      </w:r>
    </w:p>
    <w:p w14:paraId="31642961" w14:textId="528D3C3E" w:rsidR="007E195E" w:rsidRDefault="007B3952" w:rsidP="007E195E">
      <w:pPr>
        <w:ind w:firstLine="700"/>
      </w:pPr>
      <w:r>
        <w:t xml:space="preserve">Ainda com relação aos cuidados para a aplicação da pesquisa, foi realizado um treinamento com os pesquisadores que realizaram as entrevistas. O workshop foi oferecido em seis encontros, antes do início da coleta de dados, coordenados por pesquisadores experientes e referências nos contextos investigados para orientações sobre o contato com os adolescentes, assim como a condução adequada da entrevista semiestruturada. No treinamento foi abordado temas como: </w:t>
      </w:r>
      <w:r>
        <w:rPr>
          <w:highlight w:val="white"/>
        </w:rPr>
        <w:t xml:space="preserve">dimensões históricas, políticas e sociais em pesquisa com adolescentes e jovens em situação de vulnerabilidade social; a pandemia e suas repercussões na vida de adolescentes em situação de exclusão social; estudos de casos múltiplos; Abordagem qualitativa, inserção ecológica e recomendações técnicas na condução de entrevistas com adolescentes; Manejo de temas delicados e que podem evocar conteúdos fortes emocionais (ex.: luto e perda no período pandêmico); e Análise temática e uso de softwares para a realização de análise de dados qualitativos </w:t>
      </w:r>
      <w:r>
        <w:t>(sobre o conteúdo da atividade formativa, ver Anexo F).</w:t>
      </w:r>
    </w:p>
    <w:p w14:paraId="0F4CFC6E" w14:textId="6D84EA39" w:rsidR="007E195E" w:rsidRDefault="007E195E" w:rsidP="007E195E">
      <w:pPr>
        <w:ind w:firstLine="700"/>
      </w:pPr>
      <w:r w:rsidRPr="00681356">
        <w:t xml:space="preserve">Para compreender, posteriormente, a análise dos dados, é importante destacar que, no momento da coleta dos dados a pandemia já não estava no seu período mais grave. Entretanto, considerou-se para a participação na pesquisa que os adolescentes estivessem em cumprimento de medida socioeducativa de internação entre março de 2020 e dezembro de 2021. Neste período, ocorreram os estágios mais graves da pandemia, considerando as primeiras ondas de aumento de contágio e casos de morte. Ainda assim, como a pesquisa teve coleta em diferentes regiões, pontua-se que existiu uma diversidade de realidade em cada contexto de internação em que os participantes se encontravam. Isso </w:t>
      </w:r>
      <w:r w:rsidRPr="00681356">
        <w:lastRenderedPageBreak/>
        <w:t xml:space="preserve">porque, cada Estado, </w:t>
      </w:r>
      <w:r w:rsidR="009D7503" w:rsidRPr="00681356">
        <w:t xml:space="preserve">se organizou de forma diferente para lidar com as demandas da pandemia, portanto, </w:t>
      </w:r>
      <w:r w:rsidR="006022B7" w:rsidRPr="00681356">
        <w:t>as instituições socioeducativas de cada região tiveram</w:t>
      </w:r>
      <w:r w:rsidR="009D7503" w:rsidRPr="00681356">
        <w:t xml:space="preserve"> características de práticas diferentes umas das outras.</w:t>
      </w:r>
    </w:p>
    <w:p w14:paraId="0DE633E5" w14:textId="77777777" w:rsidR="00C33A41" w:rsidRDefault="00C33A41">
      <w:pPr>
        <w:ind w:firstLine="700"/>
        <w:rPr>
          <w:color w:val="FF0000"/>
        </w:rPr>
      </w:pPr>
    </w:p>
    <w:p w14:paraId="536189B8" w14:textId="77777777" w:rsidR="00C33A41" w:rsidRDefault="007B3952">
      <w:pPr>
        <w:pStyle w:val="Ttulo2"/>
      </w:pPr>
      <w:bookmarkStart w:id="29" w:name="_heading=h.3as4poj" w:colFirst="0" w:colLast="0"/>
      <w:bookmarkEnd w:id="29"/>
      <w:r>
        <w:t>2.1.6 Procedimentos Éticos</w:t>
      </w:r>
    </w:p>
    <w:p w14:paraId="5FED3427" w14:textId="77777777" w:rsidR="00C33A41" w:rsidRDefault="007B3952">
      <w:pPr>
        <w:ind w:firstLine="700"/>
      </w:pPr>
      <w:r>
        <w:rPr>
          <w:b/>
        </w:rPr>
        <w:tab/>
      </w:r>
      <w:r>
        <w:t xml:space="preserve">Inicialmente o projeto foi submetido e aprovado no Comitê de Ética em Pesquisa da Universidade Federal de São Carlos - UFSCar (Parecer: 5.071.080; ver Anexo A), tendo em vista que foi elaborado a partir das normativas estabelecidas pelo Conselho Nacional de Saúde, em suas resoluções 466/2012 e 510/2016. Por se tratar de um estudo multicêntrico, todas as equipes de pesquisa tiveram que submeter o projeto de demais documentos para apreciação dos CEP’s de suas respectivas Universidades. Após aprovação, foi realizado o contato com as instituições e/ou com os adolescentes e seus responsáveis com a finalidade de apresentar o projeto, esclarecer dúvidas e solicitar a autorização para o desenvolvimento da pesquisa. </w:t>
      </w:r>
    </w:p>
    <w:p w14:paraId="29F6B3FB" w14:textId="77777777" w:rsidR="00C33A41" w:rsidRDefault="007B3952">
      <w:pPr>
        <w:ind w:firstLine="700"/>
      </w:pPr>
      <w:r>
        <w:t>Ainda em relação às questões éticas, a coleta de dados com os adolescentes só foi iniciada com a autorização devidamente formalizada por meio da assinatura do Termo de Assentimento (Anexo B). No caso dos adolescentes participantes da pesquisa, dada a dificuldade de acessar os seus responsáveis, solicitou-se e foi aprovado pelo Comitê de Ética a dispensa do TCLE.</w:t>
      </w:r>
    </w:p>
    <w:p w14:paraId="786368AA" w14:textId="77777777" w:rsidR="00C33A41" w:rsidRDefault="007B3952">
      <w:pPr>
        <w:ind w:firstLine="700"/>
      </w:pPr>
      <w:r>
        <w:t xml:space="preserve">Em relação aos riscos, os procedimentos utilizados na pesquisa poderiam trazer algum desconforto emocional, tendo em vista se tratar de uma pesquisa sobre impactos da pandemia no cotidiano dos adolescentes, na qual pode envolver relatos sobre perdas, violência, solidão etc. No entanto, mesmo que o risco previsto fosse considerado mínimo, caso a participação do adolescente tivesse gerado qualquer tipo de desconforto, angústia, ansiedade ou estresse a pesquisa seria imediatamente interrompida. Por qualquer </w:t>
      </w:r>
      <w:r>
        <w:lastRenderedPageBreak/>
        <w:t>desagrado ou motivo, o adolescente e os seus responsáveis legais poderiam retirar o consentimento e interromper a coleta de dados. Deixou-se esclarecido que, neste caso, não ocorreria nenhum tipo de prejuízo pessoal para o adolescente, seus responsáveis ou para a instituição em que a pesquisa foi feita. Se algum dos aspectos citados anteriormente acontecesse, o adolescente seria encaminhado para um atendimento profissional especializado, e seria feita a suspensão imediata da coleta até que ele se sentisse à vontade para retomar, se assim quiser.</w:t>
      </w:r>
    </w:p>
    <w:p w14:paraId="18B342B6" w14:textId="77777777" w:rsidR="00C33A41" w:rsidRDefault="007B3952">
      <w:pPr>
        <w:ind w:firstLine="700"/>
      </w:pPr>
      <w:r>
        <w:t>Quanto aos benefícios, enfatiza-se que o adolescente e o seu responsável não tiveram nenhum tipo de despesa ao participar desta pesquisa, assim como nada foi pago por sua participação, portanto, todo envolvimento ocorreu de forma voluntária. A participação na pesquisa contribuiu, direta ou indiretamente, com o campo do conhecimento do tema estudado, proporcionando materiais que auxiliaram na reflexão sobre os impactos que a pandemia do Covid-19 pode ter sobre a vida de adolescentes que já se encontravam em situação de vulnerabilidade social.</w:t>
      </w:r>
    </w:p>
    <w:p w14:paraId="30130AD2" w14:textId="77777777" w:rsidR="00C33A41" w:rsidRDefault="007B3952">
      <w:pPr>
        <w:ind w:firstLine="700"/>
      </w:pPr>
      <w:r>
        <w:t>Por fim, destaca-se que o material produzido durante a pesquisa foi armazenado em equipamentos particulares dos pesquisadores e, após cinco anos, será realizado seu devido descarte. Durante todo o processo os nomes dos participantes foram mantidos em sigilo e não foram divulgados em hipótese alguma. Portanto, foram utilizados nomes fictícios nos relatórios e publicações que derivam do estudo, de modo a garantir que os participantes não sejam identificados.</w:t>
      </w:r>
    </w:p>
    <w:p w14:paraId="6592F7CC" w14:textId="77777777" w:rsidR="00C33A41" w:rsidRDefault="00C33A41">
      <w:pPr>
        <w:ind w:firstLine="700"/>
      </w:pPr>
    </w:p>
    <w:p w14:paraId="52394153" w14:textId="77777777" w:rsidR="00C33A41" w:rsidRDefault="007B3952">
      <w:pPr>
        <w:pStyle w:val="Ttulo2"/>
      </w:pPr>
      <w:bookmarkStart w:id="30" w:name="_heading=h.2p2csry" w:colFirst="0" w:colLast="0"/>
      <w:bookmarkEnd w:id="30"/>
      <w:r>
        <w:t>2.1.7 Análise de dados</w:t>
      </w:r>
    </w:p>
    <w:p w14:paraId="798BDC6C" w14:textId="77777777" w:rsidR="00C33A41" w:rsidRDefault="007B3952">
      <w:pPr>
        <w:ind w:firstLine="700"/>
      </w:pPr>
      <w:bookmarkStart w:id="31" w:name="_heading=h.1pxezwc" w:colFirst="0" w:colLast="0"/>
      <w:bookmarkEnd w:id="31"/>
      <w:r>
        <w:t xml:space="preserve">Para a análise dos dados coletados foi utilizada a Técnica de Análise Temática (AT) (Braun &amp; Clarke, 2006), que consiste em identificar, analisar, interpretar e descrever padrões em conteúdos derivados de pesquisas qualitativas. A análise temática reflexiva </w:t>
      </w:r>
      <w:r>
        <w:lastRenderedPageBreak/>
        <w:t xml:space="preserve">tem maior flexibilidade, visando uma imersão e profundo engajamento com os dados, sendo, comumente, utilizada em pesquisas com agendas sociais. </w:t>
      </w:r>
    </w:p>
    <w:p w14:paraId="0594222F" w14:textId="77777777" w:rsidR="00C33A41" w:rsidRDefault="007B3952">
      <w:pPr>
        <w:ind w:firstLine="700"/>
      </w:pPr>
      <w:bookmarkStart w:id="32" w:name="_heading=h.m5vuucr9znyl" w:colFirst="0" w:colLast="0"/>
      <w:bookmarkEnd w:id="32"/>
      <w:r>
        <w:t xml:space="preserve">A Análise Temática envolve movimentos constantes entre os conteúdos codificados e a análise que está em elaboração (Souza, 2019). Para tanto, Braun e Clarke (2006) propõem sua sistematização de acordo com seis fases: 1) Familiarização com os dados; 2) Elaboração de códigos iniciais; 3) Identificação de temas; 4) Reavaliação dos temas; 5) Definição e nomeação dos temas; e, por fim, 6) Produção do relato científico da análise. </w:t>
      </w:r>
    </w:p>
    <w:p w14:paraId="1EF01DCC" w14:textId="77777777" w:rsidR="00C33A41" w:rsidRDefault="007B3952">
      <w:pPr>
        <w:ind w:firstLine="700"/>
        <w:sectPr w:rsidR="00C33A41">
          <w:footerReference w:type="default" r:id="rId13"/>
          <w:pgSz w:w="11906" w:h="16838"/>
          <w:pgMar w:top="1417" w:right="1701" w:bottom="1417" w:left="1701" w:header="708" w:footer="708" w:gutter="0"/>
          <w:pgNumType w:start="14"/>
          <w:cols w:space="720"/>
        </w:sectPr>
      </w:pPr>
      <w:r>
        <w:t xml:space="preserve">É importante ressaltar a indicação de que, para realizar adequadamente todas as etapas, foi necessário um registro sistematizado não apenas dos conteúdos levantados, mas também dos </w:t>
      </w:r>
      <w:r>
        <w:rPr>
          <w:i/>
        </w:rPr>
        <w:t>insights</w:t>
      </w:r>
      <w:r>
        <w:t>, ideias ou anotações produzidas pelos pesquisadores durante o processo de coleta dos dados. As informações produzidas desde o contato inicial com os participantes também foram consideradas para a codificação e análise do material (Souza, 2019).</w:t>
      </w:r>
    </w:p>
    <w:p w14:paraId="7CB3E1D7" w14:textId="77777777" w:rsidR="00C33A41" w:rsidRDefault="007B3952">
      <w:pPr>
        <w:pStyle w:val="Ttulo1"/>
      </w:pPr>
      <w:bookmarkStart w:id="33" w:name="_heading=h.147n2zr" w:colFirst="0" w:colLast="0"/>
      <w:bookmarkEnd w:id="33"/>
      <w:r>
        <w:lastRenderedPageBreak/>
        <w:t xml:space="preserve">CAPÍTULO 3: </w:t>
      </w:r>
      <w:r>
        <w:rPr>
          <w:color w:val="000000"/>
        </w:rPr>
        <w:t>RUPTURAS SOCIAIS E RELACIONAIS IDENTIFICADAS DURANTE A PANDEMIA COM ADOLESCENTES EM CUMPRIMENTO DE MEDIDAS SOCIOEDUCATIVAS DE INTERNAÇÃO </w:t>
      </w:r>
    </w:p>
    <w:p w14:paraId="1BEBE0EE" w14:textId="77777777" w:rsidR="00C33A41" w:rsidRDefault="00C33A41">
      <w:pPr>
        <w:rPr>
          <w:b/>
        </w:rPr>
      </w:pPr>
    </w:p>
    <w:p w14:paraId="4320CC9F" w14:textId="77777777" w:rsidR="00C33A41" w:rsidRDefault="007B3952">
      <w:pPr>
        <w:ind w:firstLine="720"/>
      </w:pPr>
      <w:r>
        <w:rPr>
          <w:color w:val="000000"/>
        </w:rPr>
        <w:t>Estudos recentes têm debatido o quanto a pandemia do Covid-19 extrapolou as linhas sanitárias e epidemiológicas e se estendeu a outras dimensões das vidas das pessoas (Paixão et al., 2020). O contexto pandêmico escancarou o quanto as desigualdades sociais fizeram com que populações em situação de vulnerabilidade e exclusão social fossem afetadas negativamente e de forma mais contundente. A pandemia potencializou diferenças já presentes nas realidades sociais dos países, sobretudo quando se leva em considerações variáveis como classe, raça e gênero, visto que alguns grupos, na lógica do sistema capitalista e sem suporte social, foram negligenciados e lançados à própria sorte (Paixão et al., 2020).</w:t>
      </w:r>
    </w:p>
    <w:p w14:paraId="5C56D883" w14:textId="77777777" w:rsidR="00C33A41" w:rsidRDefault="007B3952">
      <w:pPr>
        <w:ind w:firstLine="720"/>
      </w:pPr>
      <w:r>
        <w:rPr>
          <w:color w:val="000000"/>
        </w:rPr>
        <w:t>Dentre os impactos identificados ao se observar populações em diferentes condições socioeconômicas estão a frequência de exposição ao vírus (no caso de pessoas que puderam ou não aderir ao isolamento), o acesso a espaços de saúde para diagnósticos e tratamentos diante da contaminação, condições de saúde e sanitárias para evitar contágio (como saneamento básicos, alimentação saudável) (Bueno et al., 2021). Portanto, o que se sabe é que as recomendações para a adoção de medidas de prevenção aconteceram de forma abstrata e acrítica, pois ignoraram a realidade de abandono e escassez de populações que viviam em condições de vulnerabilidade (Rego et al., 2021).</w:t>
      </w:r>
    </w:p>
    <w:p w14:paraId="0ABCF0E3" w14:textId="77777777" w:rsidR="00C33A41" w:rsidRDefault="007B3952">
      <w:pPr>
        <w:ind w:firstLine="720"/>
      </w:pPr>
      <w:r>
        <w:rPr>
          <w:color w:val="000000"/>
        </w:rPr>
        <w:t xml:space="preserve">No caso específico de adolescentes, inicialmente, os estudos sinalizaram poucos riscos decorrentes de contaminação pelo Covid-19, sendo a taxa de mortalidade relativamente baixa em comparação a outros grupos (Dong et al., 2020; </w:t>
      </w:r>
      <w:proofErr w:type="spellStart"/>
      <w:r>
        <w:rPr>
          <w:color w:val="000000"/>
        </w:rPr>
        <w:t>Viner</w:t>
      </w:r>
      <w:proofErr w:type="spellEnd"/>
      <w:r>
        <w:rPr>
          <w:color w:val="000000"/>
        </w:rPr>
        <w:t xml:space="preserve"> et al., 2021). Porém, atualmente tem se discutido o quanto a pandemia pode ter ocasionado </w:t>
      </w:r>
      <w:r>
        <w:rPr>
          <w:color w:val="000000"/>
        </w:rPr>
        <w:lastRenderedPageBreak/>
        <w:t>impactos negativos em diversas outras áreas da vida dessa população, especialmente daqueles que já se encontravam, por algum motivo, em situação de exclusão social.</w:t>
      </w:r>
    </w:p>
    <w:p w14:paraId="0D71D909" w14:textId="77777777" w:rsidR="00C33A41" w:rsidRDefault="007B3952">
      <w:pPr>
        <w:ind w:firstLine="720"/>
      </w:pPr>
      <w:r>
        <w:rPr>
          <w:color w:val="000000"/>
        </w:rPr>
        <w:t xml:space="preserve">Em 2021, a diretora </w:t>
      </w:r>
      <w:r>
        <w:rPr>
          <w:color w:val="000000"/>
          <w:highlight w:val="white"/>
        </w:rPr>
        <w:t>da Organização Pan-</w:t>
      </w:r>
      <w:r>
        <w:rPr>
          <w:color w:val="000000"/>
        </w:rPr>
        <w:t xml:space="preserve">Americana da Saúde (OPAS, 2021), Carissa F. Etienne, apontou que a pandemia do Covid-19 teve um impacto severo em crianças e adolescentes. De acordo com a diretora, uma das solicitações dos órgãos de saúde, diante da contenção dos casos, seria a reabertura urgente de espaços frequentados por essa população, como as escolas (OPAS, 2021), um dos </w:t>
      </w:r>
      <w:r>
        <w:rPr>
          <w:color w:val="000000"/>
          <w:highlight w:val="white"/>
        </w:rPr>
        <w:t>principais espaços de rupturas sociais durante a pandemia. </w:t>
      </w:r>
    </w:p>
    <w:p w14:paraId="639FD3F5" w14:textId="77777777" w:rsidR="00C33A41" w:rsidRDefault="007B3952">
      <w:pPr>
        <w:ind w:firstLine="720"/>
      </w:pPr>
      <w:r>
        <w:rPr>
          <w:color w:val="000000"/>
          <w:highlight w:val="white"/>
        </w:rPr>
        <w:t xml:space="preserve">Nesse período do desenvolvimento, as atividades cotidianas (escolas, projetos sociais, </w:t>
      </w:r>
      <w:r>
        <w:rPr>
          <w:highlight w:val="white"/>
        </w:rPr>
        <w:t>espaços</w:t>
      </w:r>
      <w:r>
        <w:rPr>
          <w:color w:val="000000"/>
          <w:highlight w:val="white"/>
        </w:rPr>
        <w:t xml:space="preserve"> de interação com pares, entre outros) proporcionam aos adolescentes </w:t>
      </w:r>
      <w:r>
        <w:rPr>
          <w:color w:val="000000"/>
        </w:rPr>
        <w:t xml:space="preserve">processos de socialização essenciais para o desenvolvimento das estruturas psicológicas (Oliveira et al., 2020). </w:t>
      </w:r>
      <w:r>
        <w:t>Nesse</w:t>
      </w:r>
      <w:r>
        <w:rPr>
          <w:color w:val="000000"/>
        </w:rPr>
        <w:t xml:space="preserve"> sentido, o afastamento da escola, por exemplo, pode ter implicações ainda não avaliadas no cotidiano dos adolescentes, especialmente nos que já estavam em vulnerabilidade social no contexto pré-pandêmico. A </w:t>
      </w:r>
      <w:r>
        <w:t>Organização</w:t>
      </w:r>
      <w:r>
        <w:rPr>
          <w:color w:val="000000"/>
        </w:rPr>
        <w:t xml:space="preserve"> Pan-Americana de Saúde também estendeu essa preocupação para os serviços de saúde e serviços sociais (OPAS, 2021).</w:t>
      </w:r>
    </w:p>
    <w:p w14:paraId="059345DC" w14:textId="77777777" w:rsidR="00C33A41" w:rsidRDefault="007B3952">
      <w:pPr>
        <w:ind w:firstLine="720"/>
      </w:pPr>
      <w:r>
        <w:rPr>
          <w:color w:val="000000"/>
        </w:rPr>
        <w:t xml:space="preserve">Uma pesquisa realizada pela Fundação Oswaldo Cruz ([Fiocruz], 2020a) também </w:t>
      </w:r>
      <w:r>
        <w:rPr>
          <w:color w:val="000000"/>
          <w:highlight w:val="white"/>
        </w:rPr>
        <w:t xml:space="preserve">identificou rupturas e descontinuidades na rotina de adolescentes brasileiros durante a pandemia. O objetivo do estudo foi descrever as mudanças que os adolescentes tiveram durante o período de isolamento social no que se refere às atividades de rotina, estilos de vida, relações familiares e pares, atividades escolares, cuidados com a saúde e estados emocionais. Como observado na Figura 1, no que se refere a rupturas sociais e relacionais, a pesquisa verificou que a maioria dos adolescentes respondentes (71,5%) disseram ter aderido às medidas de restrição, como o isolamento social. Destes, 45,6% relataram ter </w:t>
      </w:r>
      <w:r>
        <w:rPr>
          <w:color w:val="000000"/>
          <w:highlight w:val="white"/>
        </w:rPr>
        <w:lastRenderedPageBreak/>
        <w:t>ficado em isolamento intenso, saindo de casa apenas para ir a supermercados ou farmácias. </w:t>
      </w:r>
    </w:p>
    <w:p w14:paraId="7DEBB2F4" w14:textId="77777777" w:rsidR="00C33A41" w:rsidRDefault="00C33A41">
      <w:pPr>
        <w:spacing w:line="240" w:lineRule="auto"/>
      </w:pPr>
    </w:p>
    <w:p w14:paraId="563D3705" w14:textId="77777777" w:rsidR="00C33A41" w:rsidRDefault="007B3952">
      <w:bookmarkStart w:id="34" w:name="_heading=h.41mghml" w:colFirst="0" w:colLast="0"/>
      <w:bookmarkEnd w:id="34"/>
      <w:r>
        <w:rPr>
          <w:color w:val="000000"/>
          <w:highlight w:val="white"/>
        </w:rPr>
        <w:t xml:space="preserve">Figura 1. </w:t>
      </w:r>
      <w:r>
        <w:rPr>
          <w:i/>
          <w:color w:val="000000"/>
          <w:highlight w:val="white"/>
        </w:rPr>
        <w:t>Intensidade da restrição do contato com outras pessoas</w:t>
      </w:r>
    </w:p>
    <w:p w14:paraId="0574A8BD" w14:textId="77777777" w:rsidR="00C33A41" w:rsidRDefault="007B3952">
      <w:pPr>
        <w:rPr>
          <w:color w:val="000000"/>
        </w:rPr>
      </w:pPr>
      <w:r>
        <w:rPr>
          <w:noProof/>
          <w:color w:val="000000"/>
          <w:highlight w:val="white"/>
        </w:rPr>
        <w:drawing>
          <wp:inline distT="0" distB="0" distL="0" distR="0" wp14:anchorId="6076595D" wp14:editId="374F38DA">
            <wp:extent cx="5220335" cy="3328035"/>
            <wp:effectExtent l="0" t="0" r="0" b="0"/>
            <wp:docPr id="4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220335" cy="3328035"/>
                    </a:xfrm>
                    <a:prstGeom prst="rect">
                      <a:avLst/>
                    </a:prstGeom>
                    <a:ln/>
                  </pic:spPr>
                </pic:pic>
              </a:graphicData>
            </a:graphic>
          </wp:inline>
        </w:drawing>
      </w:r>
      <w:r>
        <w:rPr>
          <w:color w:val="000000"/>
        </w:rPr>
        <w:t>Fonte: Fiocruz (2020a).</w:t>
      </w:r>
    </w:p>
    <w:p w14:paraId="677A200B" w14:textId="77777777" w:rsidR="00C33A41" w:rsidRDefault="00C33A41">
      <w:pPr>
        <w:spacing w:line="240" w:lineRule="auto"/>
        <w:rPr>
          <w:color w:val="000000"/>
        </w:rPr>
      </w:pPr>
    </w:p>
    <w:p w14:paraId="532C277A" w14:textId="77777777" w:rsidR="00C33A41" w:rsidRDefault="007B3952">
      <w:pPr>
        <w:ind w:firstLine="720"/>
      </w:pPr>
      <w:r>
        <w:rPr>
          <w:color w:val="000000"/>
        </w:rPr>
        <w:t xml:space="preserve">Na mesma direção, a pesquisa sobre juventude e pandemia realizada pelo Conselho Nacional da Juventude - CONJUVE (2021) trouxe alguns dados que merecem ser analisados cuidadosamente. De acordo com o relatório, no início da pandemia, 97% dos jovens iam apenas a mercados e farmácias, 68% não </w:t>
      </w:r>
      <w:r>
        <w:t>frequentavam</w:t>
      </w:r>
      <w:r>
        <w:rPr>
          <w:color w:val="000000"/>
        </w:rPr>
        <w:t xml:space="preserve"> festas, 39% não foram a praças e parques e 34% não utilizaram mais transporte público. Dessa forma, pode-se afirmar que a pandemia acabou interferindo diretamente nas experiências de socialização dos adolescentes. No caso de adolescentes em exclusão social esse impacto pode ter sido ainda maior, pois, de acordo com Oliveira et al. (2020), este grupo tem acesso limitado a meios tecnológicos de interação, como celulares, computadores e internet</w:t>
      </w:r>
      <w:r>
        <w:rPr>
          <w:color w:val="000000"/>
          <w:highlight w:val="white"/>
        </w:rPr>
        <w:t>. </w:t>
      </w:r>
    </w:p>
    <w:p w14:paraId="5FF35939" w14:textId="77777777" w:rsidR="00C33A41" w:rsidRDefault="007B3952">
      <w:pPr>
        <w:ind w:firstLine="720"/>
      </w:pPr>
      <w:r>
        <w:rPr>
          <w:color w:val="000000"/>
          <w:highlight w:val="white"/>
        </w:rPr>
        <w:lastRenderedPageBreak/>
        <w:t>Quando se aborda as condições de adolescentes em medida socioeducativa de internação, a avaliação do impacto da pandemia deve ser minuciosa e cautelosa, visto que a medida judicial já coloca os adolescentes em privação de liberdade e, consequentemente, em condição de isolamen</w:t>
      </w:r>
      <w:r>
        <w:rPr>
          <w:color w:val="000000"/>
        </w:rPr>
        <w:t xml:space="preserve">to social (Lei n. 8.069, 1990). Entretanto, o próprio SINASE (Lei n. 12.594, 2012) estabelece </w:t>
      </w:r>
      <w:r>
        <w:rPr>
          <w:color w:val="000000"/>
          <w:highlight w:val="white"/>
        </w:rPr>
        <w:t xml:space="preserve">que as instituições devem oferecer, além da estrutura física e equipe técnica especializada, o acesso a direitos básicos, como escola, serviços de saúde, convivência familiar, esporte, cultura e lazer. Contudo, diante da realidade encontrada em países com </w:t>
      </w:r>
      <w:r>
        <w:rPr>
          <w:color w:val="000000"/>
        </w:rPr>
        <w:t>marcadores acentuados de desigualdade, como o Brasil, a pandemia pode ter dificultado ainda mais a garantia de direitos dessa população (</w:t>
      </w:r>
      <w:proofErr w:type="spellStart"/>
      <w:r>
        <w:rPr>
          <w:color w:val="000000"/>
        </w:rPr>
        <w:t>Sposato</w:t>
      </w:r>
      <w:proofErr w:type="spellEnd"/>
      <w:r>
        <w:rPr>
          <w:color w:val="000000"/>
        </w:rPr>
        <w:t xml:space="preserve"> &amp; Moitinho, 2021).</w:t>
      </w:r>
    </w:p>
    <w:p w14:paraId="15B2BABF" w14:textId="77777777" w:rsidR="00C33A41" w:rsidRDefault="007B3952">
      <w:pPr>
        <w:ind w:firstLine="720"/>
      </w:pPr>
      <w:r>
        <w:rPr>
          <w:color w:val="000000"/>
        </w:rPr>
        <w:t>A UNICEF (2020) destacou o papel dos Estados em assegurar essas condições considerando o respeito aos Direitos Humanos dos adolescentes privados de liberdade. É importante destacar que tanto o ECA (Lei n. 8.069, 1990) quanto o SINASE (Lei n. 12.594, 2012) estabelecem a responsabilização das instituições e seus gestores diante do descumprimento dos direitos ou das ocorrências de violações da condição humana dos adolescentes. Ainda assim, como indicado no estudo de Costa et al. (2022), no Brasil são identificadas diversas violências e inadequações na medida de internação, como a ausência dos princípios pedagógicos, práticas repressoras, unidades em condições inadequadas, intervenções policiais e até mesmo situações de maus-tratos e torturas.</w:t>
      </w:r>
    </w:p>
    <w:p w14:paraId="04B2FF77" w14:textId="77777777" w:rsidR="00C33A41" w:rsidRDefault="007B3952">
      <w:pPr>
        <w:ind w:firstLine="720"/>
      </w:pPr>
      <w:r>
        <w:rPr>
          <w:color w:val="000000"/>
        </w:rPr>
        <w:t>Considerando o agravamento das condições das medidas socioeducativas de internação devido à crise sanitária, o Conselho Nacional de Justiça (</w:t>
      </w:r>
      <w:r>
        <w:t>Recomendação Conjunta nº 1, 2020</w:t>
      </w:r>
      <w:r>
        <w:rPr>
          <w:color w:val="000000"/>
        </w:rPr>
        <w:t xml:space="preserve">) recomendou que a aplicação das medidas durante a pandemia fosse, preferencialmente, realizada em meio aberto (o que já deveria ser uma prioridade mesmo antes da pandemia e do isolamento social), além </w:t>
      </w:r>
      <w:r>
        <w:t>de indicar</w:t>
      </w:r>
      <w:r>
        <w:rPr>
          <w:color w:val="000000"/>
        </w:rPr>
        <w:t xml:space="preserve"> a revisão de alguns casos de adolescentes já inseridos no sistema de internação.  Porém, o que se verificou foram </w:t>
      </w:r>
      <w:r>
        <w:rPr>
          <w:color w:val="000000"/>
        </w:rPr>
        <w:lastRenderedPageBreak/>
        <w:t xml:space="preserve">violações do próprio sistema judiciário, visto que muitos dos pedidos não foram concedidos durante a pandemia, o que significa que o próprio Poder Judiciário legitimou a violação dos direitos dos adolescentes em internação, sobretudo no direito à saúde (Silva &amp; </w:t>
      </w:r>
      <w:proofErr w:type="spellStart"/>
      <w:r>
        <w:rPr>
          <w:color w:val="000000"/>
        </w:rPr>
        <w:t>Arguelo</w:t>
      </w:r>
      <w:proofErr w:type="spellEnd"/>
      <w:r>
        <w:rPr>
          <w:color w:val="000000"/>
        </w:rPr>
        <w:t>, 2022).  </w:t>
      </w:r>
    </w:p>
    <w:p w14:paraId="61FF360B" w14:textId="77777777" w:rsidR="00C33A41" w:rsidRDefault="007B3952">
      <w:pPr>
        <w:ind w:firstLine="720"/>
      </w:pPr>
      <w:r>
        <w:rPr>
          <w:color w:val="000000"/>
        </w:rPr>
        <w:t xml:space="preserve">A Teoria Bioecológica do Desenvolvimento Humano, preconizada por </w:t>
      </w:r>
      <w:proofErr w:type="spellStart"/>
      <w:r>
        <w:rPr>
          <w:color w:val="000000"/>
        </w:rPr>
        <w:t>Urie</w:t>
      </w:r>
      <w:proofErr w:type="spellEnd"/>
      <w:r>
        <w:rPr>
          <w:color w:val="000000"/>
        </w:rPr>
        <w:t xml:space="preserve"> Bronfenbrenner, pode contribuir com análises sobre o impacto da pandemia nos diversos contextos de vida desses adolescentes. Bronfenbrenner abordou o desenvolvimento humano considerando não somente o âmbito familiar, mas também os contextos históricos e sociais (Bronfenbrenner, 1996). </w:t>
      </w:r>
      <w:r>
        <w:rPr>
          <w:color w:val="000000"/>
          <w:highlight w:val="white"/>
        </w:rPr>
        <w:t>Outro aspecto importante da teoria e que se relaciona com os dados citados anteriormente é a articulação entre a ciência e as políticas públicas, reconhecendo esta última como um instrumento relevante para a melhoria da qualidade de vida dos indivíduos e promoção do desenvolvimento humano (</w:t>
      </w:r>
      <w:r>
        <w:rPr>
          <w:color w:val="000000"/>
        </w:rPr>
        <w:t>Bronfenbrenner, 2011). As políticas públicas podem ser consideradas um macrossistema que tem o potencial de inserir os indivíduos em determinados modelos de serviços e, com isso, oferecer possibilidades de promoção de desenvolvimentos saudáveis (</w:t>
      </w:r>
      <w:proofErr w:type="spellStart"/>
      <w:r>
        <w:rPr>
          <w:color w:val="000000"/>
        </w:rPr>
        <w:t>Bhering</w:t>
      </w:r>
      <w:proofErr w:type="spellEnd"/>
      <w:r>
        <w:rPr>
          <w:color w:val="000000"/>
        </w:rPr>
        <w:t xml:space="preserve"> &amp; </w:t>
      </w:r>
      <w:proofErr w:type="spellStart"/>
      <w:r>
        <w:rPr>
          <w:color w:val="000000"/>
        </w:rPr>
        <w:t>Sarkis</w:t>
      </w:r>
      <w:proofErr w:type="spellEnd"/>
      <w:r>
        <w:rPr>
          <w:color w:val="000000"/>
        </w:rPr>
        <w:t>, 2009). Dessa forma, é preciso refletir de que modo o sistema judiciário e as políticas sociais direcionadas a adolescentes em internação promovem (ou não) o desenvolvimento saudável.</w:t>
      </w:r>
    </w:p>
    <w:p w14:paraId="16C93E95" w14:textId="77777777" w:rsidR="00C33A41" w:rsidRDefault="007B3952">
      <w:pPr>
        <w:ind w:firstLine="720"/>
        <w:rPr>
          <w:color w:val="000000"/>
          <w:highlight w:val="white"/>
        </w:rPr>
      </w:pPr>
      <w:r>
        <w:rPr>
          <w:color w:val="000000"/>
        </w:rPr>
        <w:t xml:space="preserve">Ainda de acordo com Bronfenbrenner (2011, p.43), o desenvolvimento </w:t>
      </w:r>
      <w:r>
        <w:rPr>
          <w:color w:val="000000"/>
          <w:highlight w:val="white"/>
        </w:rPr>
        <w:t>humano é “fenômeno de continuidade e de mudança das características biopsicológicas dos seres humanos como indivíduos e grupos”. Nesta perspectiva, o desenvolvimento pode ser estimulado ou restringindo a partir dos níveis de interação do indivíduo com outras pessoas, assim como pela participação e envolvimento em contextos diversificados. </w:t>
      </w:r>
    </w:p>
    <w:p w14:paraId="417293E6" w14:textId="77777777" w:rsidR="00C33A41" w:rsidRDefault="007B3952">
      <w:pPr>
        <w:ind w:firstLine="720"/>
      </w:pPr>
      <w:r>
        <w:rPr>
          <w:color w:val="000000"/>
          <w:highlight w:val="white"/>
        </w:rPr>
        <w:t xml:space="preserve">Durante a adolescência, a família é </w:t>
      </w:r>
      <w:r>
        <w:rPr>
          <w:highlight w:val="white"/>
        </w:rPr>
        <w:t>considerada um microssistema</w:t>
      </w:r>
      <w:r>
        <w:rPr>
          <w:color w:val="000000"/>
          <w:highlight w:val="white"/>
        </w:rPr>
        <w:t xml:space="preserve"> importante. Entretanto, adolescentes tendem a participar mais ativamente e de forma mais duradoura </w:t>
      </w:r>
      <w:r>
        <w:rPr>
          <w:color w:val="000000"/>
          <w:highlight w:val="white"/>
        </w:rPr>
        <w:lastRenderedPageBreak/>
        <w:t>de outros microssistemas, como nas relações entre pares</w:t>
      </w:r>
      <w:r>
        <w:rPr>
          <w:color w:val="000000"/>
        </w:rPr>
        <w:t xml:space="preserve"> (Senna &amp; </w:t>
      </w:r>
      <w:proofErr w:type="spellStart"/>
      <w:r>
        <w:rPr>
          <w:color w:val="000000"/>
        </w:rPr>
        <w:t>Dessen</w:t>
      </w:r>
      <w:proofErr w:type="spellEnd"/>
      <w:r>
        <w:rPr>
          <w:color w:val="000000"/>
        </w:rPr>
        <w:t xml:space="preserve">, 2012; Santos &amp; </w:t>
      </w:r>
      <w:proofErr w:type="spellStart"/>
      <w:r>
        <w:rPr>
          <w:color w:val="000000"/>
        </w:rPr>
        <w:t>Böing</w:t>
      </w:r>
      <w:proofErr w:type="spellEnd"/>
      <w:r>
        <w:rPr>
          <w:color w:val="000000"/>
        </w:rPr>
        <w:t xml:space="preserve">, 2018). No caso de adolescentes em situação de vulnerabilidade ou exclusão social, também é preciso considerar a sua interação, ou em alguns casos a ausência de interação (como no período de pandemia), com outros microssistemas importantes, como a própria escola e outros serviços de proteção (i.e., as instituições de cumprimento de medidas socioeducativas) (Santos &amp; </w:t>
      </w:r>
      <w:proofErr w:type="spellStart"/>
      <w:r>
        <w:rPr>
          <w:color w:val="000000"/>
        </w:rPr>
        <w:t>Böing</w:t>
      </w:r>
      <w:proofErr w:type="spellEnd"/>
      <w:r>
        <w:rPr>
          <w:color w:val="000000"/>
        </w:rPr>
        <w:t>, 2018). </w:t>
      </w:r>
    </w:p>
    <w:p w14:paraId="63A0BA1D" w14:textId="77777777" w:rsidR="00C33A41" w:rsidRDefault="007B3952">
      <w:pPr>
        <w:ind w:firstLine="720"/>
        <w:rPr>
          <w:color w:val="000000"/>
        </w:rPr>
      </w:pPr>
      <w:r>
        <w:rPr>
          <w:color w:val="000000"/>
        </w:rPr>
        <w:t xml:space="preserve">Inclusive, destaca-se que esses microssistemas e suas atividades podem atuar como promotores de processos proximais no desenvolvimento dos adolescentes que estão sendo atendidos. Em outras palavras, entende-se que as medidas socioeducativas podem possibilitar relações interpessoais saudáveis (com equipe técnica e pares) e encorajar à inserção em outros ambientes (escola, trabalho, cursos profissionalizantes) (Santos &amp; </w:t>
      </w:r>
      <w:proofErr w:type="spellStart"/>
      <w:r>
        <w:rPr>
          <w:color w:val="000000"/>
        </w:rPr>
        <w:t>Böing</w:t>
      </w:r>
      <w:proofErr w:type="spellEnd"/>
      <w:r>
        <w:rPr>
          <w:color w:val="000000"/>
        </w:rPr>
        <w:t xml:space="preserve">, 2018). </w:t>
      </w:r>
    </w:p>
    <w:p w14:paraId="2810E964" w14:textId="77777777" w:rsidR="00C33A41" w:rsidRDefault="007B3952">
      <w:pPr>
        <w:ind w:firstLine="720"/>
        <w:rPr>
          <w:color w:val="000000"/>
        </w:rPr>
      </w:pPr>
      <w:r>
        <w:rPr>
          <w:color w:val="000000"/>
        </w:rPr>
        <w:t xml:space="preserve">Todavia, a pesquisa de </w:t>
      </w:r>
      <w:proofErr w:type="spellStart"/>
      <w:r>
        <w:rPr>
          <w:color w:val="000000"/>
        </w:rPr>
        <w:t>Sposato</w:t>
      </w:r>
      <w:proofErr w:type="spellEnd"/>
      <w:r>
        <w:rPr>
          <w:color w:val="000000"/>
        </w:rPr>
        <w:t xml:space="preserve"> e Moitinho (2021), </w:t>
      </w:r>
      <w:r>
        <w:t xml:space="preserve">ao </w:t>
      </w:r>
      <w:r>
        <w:rPr>
          <w:highlight w:val="white"/>
        </w:rPr>
        <w:t>analisar dados disponibilizados pelo Conselho Nacional de Justiça</w:t>
      </w:r>
      <w:r>
        <w:rPr>
          <w:color w:val="000000"/>
          <w:highlight w:val="white"/>
        </w:rPr>
        <w:t xml:space="preserve">, destacou que a interação dos adolescentes em medidas socioeducativas de internação com a família, bem como o acesso a serviços de saúde e educação foram impossibilitados, especialmente durante o período mais acentuado da pandemia. Contudo, não foram identificados estudos empíricos cuja coleta tenha ocorrido diretamente com os adolescentes, o que significa que suas perspectivas sequer foram ouvidas. Com base nisso, a questão que guiou a presente investigação foi: de que forma a pandemia produziu rupturas sociais e relacionais na vida de adolescentes que cumpriam medidas socioeducativas de internação? A hipótese foi que vínculos importantes com diversos contextos dos adolescentes foram rompidos ou afetados severamente, de modo que eles ficaram ainda mais vulneráveis durante a pandemia. Assim, </w:t>
      </w:r>
      <w:r>
        <w:rPr>
          <w:color w:val="000000"/>
        </w:rPr>
        <w:t xml:space="preserve">o objetivo desse estudo empírico foi analisar as rupturas sociais e </w:t>
      </w:r>
      <w:r>
        <w:rPr>
          <w:color w:val="000000"/>
        </w:rPr>
        <w:lastRenderedPageBreak/>
        <w:t>relacionais identificadas durante o período da pandemia do Covid-19 por adolescentes em privação de liberdade residentes no estado de São Paulo.</w:t>
      </w:r>
    </w:p>
    <w:p w14:paraId="2BD668A9" w14:textId="77777777" w:rsidR="00C33A41" w:rsidRDefault="00C33A41">
      <w:pPr>
        <w:ind w:firstLine="720"/>
        <w:rPr>
          <w:color w:val="000000"/>
        </w:rPr>
      </w:pPr>
    </w:p>
    <w:p w14:paraId="5B79F23C" w14:textId="77777777" w:rsidR="00C33A41" w:rsidRDefault="007B3952">
      <w:pPr>
        <w:pStyle w:val="Ttulo2"/>
      </w:pPr>
      <w:bookmarkStart w:id="35" w:name="_heading=h.2grqrue" w:colFirst="0" w:colLast="0"/>
      <w:bookmarkEnd w:id="35"/>
      <w:r>
        <w:t>2. Dialogando com os dados</w:t>
      </w:r>
    </w:p>
    <w:p w14:paraId="704ED5A4" w14:textId="77777777" w:rsidR="00C33A41" w:rsidRDefault="007B3952">
      <w:r>
        <w:tab/>
        <w:t>Por meio das entrevistas realizadas com os participantes e através da técnica de Análise Temática empregada, foram identificadas três temáticas centrais relacionadas às rupturas sociais e relacionais presentes no cotidiano de adolescentes em cumprimento de medida socioeducativa de internação durante a pandemia do Covid-19. Destaca-se que foram considerados como rupturas relacionais o enfraquecimento ou a quebra de vínculos estabelecidos com pessoas significativas e as rupturas sociais como o afastamento dos espaços e instituições que poderiam promover o desenvolvimento dos adolescentes. Os dados obtidos foram sumarizados na Tabela 2, em que constam as temáticas centrais e seus respectivos subtemas. </w:t>
      </w:r>
    </w:p>
    <w:p w14:paraId="1B66D95C" w14:textId="77777777" w:rsidR="00C33A41" w:rsidRDefault="00C33A41"/>
    <w:p w14:paraId="53AD5DBC" w14:textId="77777777" w:rsidR="00C33A41" w:rsidRDefault="007B3952">
      <w:pPr>
        <w:rPr>
          <w:i/>
        </w:rPr>
      </w:pPr>
      <w:r>
        <w:t xml:space="preserve">Tabela 2. </w:t>
      </w:r>
      <w:r>
        <w:rPr>
          <w:i/>
        </w:rPr>
        <w:t>Resultado da Análise Temática</w:t>
      </w:r>
    </w:p>
    <w:tbl>
      <w:tblPr>
        <w:tblStyle w:val="af2"/>
        <w:tblW w:w="8926" w:type="dxa"/>
        <w:jc w:val="center"/>
        <w:tblInd w:w="0"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4738"/>
        <w:gridCol w:w="4188"/>
      </w:tblGrid>
      <w:tr w:rsidR="00C33A41" w14:paraId="32370521" w14:textId="77777777">
        <w:trPr>
          <w:jc w:val="center"/>
        </w:trPr>
        <w:tc>
          <w:tcPr>
            <w:tcW w:w="4738" w:type="dxa"/>
            <w:tcBorders>
              <w:bottom w:val="single" w:sz="4" w:space="0" w:color="000000"/>
            </w:tcBorders>
            <w:tcMar>
              <w:top w:w="0" w:type="dxa"/>
              <w:left w:w="108" w:type="dxa"/>
              <w:bottom w:w="0" w:type="dxa"/>
              <w:right w:w="108" w:type="dxa"/>
            </w:tcMar>
            <w:vAlign w:val="center"/>
          </w:tcPr>
          <w:p w14:paraId="3CF1E1CB" w14:textId="77777777" w:rsidR="00C33A41" w:rsidRDefault="007B3952">
            <w:pPr>
              <w:ind w:left="720"/>
              <w:jc w:val="center"/>
            </w:pPr>
            <w:r>
              <w:rPr>
                <w:b/>
              </w:rPr>
              <w:t>Temáticas</w:t>
            </w:r>
          </w:p>
        </w:tc>
        <w:tc>
          <w:tcPr>
            <w:tcW w:w="4188" w:type="dxa"/>
            <w:tcBorders>
              <w:bottom w:val="single" w:sz="4" w:space="0" w:color="000000"/>
            </w:tcBorders>
            <w:tcMar>
              <w:top w:w="0" w:type="dxa"/>
              <w:left w:w="108" w:type="dxa"/>
              <w:bottom w:w="0" w:type="dxa"/>
              <w:right w:w="108" w:type="dxa"/>
            </w:tcMar>
            <w:vAlign w:val="center"/>
          </w:tcPr>
          <w:p w14:paraId="26700330" w14:textId="77777777" w:rsidR="00C33A41" w:rsidRDefault="007B3952">
            <w:pPr>
              <w:ind w:left="360"/>
              <w:jc w:val="center"/>
            </w:pPr>
            <w:r>
              <w:rPr>
                <w:b/>
              </w:rPr>
              <w:t>Subtemas</w:t>
            </w:r>
          </w:p>
        </w:tc>
      </w:tr>
      <w:tr w:rsidR="00C33A41" w14:paraId="27712A22" w14:textId="77777777">
        <w:trPr>
          <w:jc w:val="center"/>
        </w:trPr>
        <w:tc>
          <w:tcPr>
            <w:tcW w:w="4738" w:type="dxa"/>
            <w:tcBorders>
              <w:top w:val="single" w:sz="4" w:space="0" w:color="000000"/>
              <w:bottom w:val="nil"/>
            </w:tcBorders>
            <w:tcMar>
              <w:top w:w="0" w:type="dxa"/>
              <w:left w:w="108" w:type="dxa"/>
              <w:bottom w:w="0" w:type="dxa"/>
              <w:right w:w="108" w:type="dxa"/>
            </w:tcMar>
            <w:vAlign w:val="center"/>
          </w:tcPr>
          <w:p w14:paraId="03CCA1C7" w14:textId="77777777" w:rsidR="00C33A41" w:rsidRDefault="007B3952">
            <w:pPr>
              <w:numPr>
                <w:ilvl w:val="0"/>
                <w:numId w:val="13"/>
              </w:numPr>
              <w:jc w:val="center"/>
              <w:rPr>
                <w:b/>
                <w:i/>
              </w:rPr>
            </w:pPr>
            <w:r>
              <w:rPr>
                <w:b/>
                <w:i/>
              </w:rPr>
              <w:t>A configuração dos vínculos familiares durante a pandemia do Covid-19</w:t>
            </w:r>
          </w:p>
        </w:tc>
        <w:tc>
          <w:tcPr>
            <w:tcW w:w="4188" w:type="dxa"/>
            <w:tcBorders>
              <w:top w:val="single" w:sz="4" w:space="0" w:color="000000"/>
            </w:tcBorders>
            <w:tcMar>
              <w:top w:w="0" w:type="dxa"/>
              <w:left w:w="108" w:type="dxa"/>
              <w:bottom w:w="0" w:type="dxa"/>
              <w:right w:w="108" w:type="dxa"/>
            </w:tcMar>
          </w:tcPr>
          <w:p w14:paraId="5C66FA27" w14:textId="77777777" w:rsidR="00C33A41" w:rsidRDefault="007B3952">
            <w:pPr>
              <w:numPr>
                <w:ilvl w:val="0"/>
                <w:numId w:val="14"/>
              </w:numPr>
              <w:ind w:left="360"/>
              <w:rPr>
                <w:i/>
              </w:rPr>
            </w:pPr>
            <w:r>
              <w:rPr>
                <w:i/>
              </w:rPr>
              <w:t>A importância afetiva e social dos vínculos familiares;</w:t>
            </w:r>
          </w:p>
          <w:p w14:paraId="7597801C" w14:textId="77777777" w:rsidR="00C33A41" w:rsidRDefault="007B3952">
            <w:pPr>
              <w:numPr>
                <w:ilvl w:val="0"/>
                <w:numId w:val="14"/>
              </w:numPr>
              <w:ind w:left="360"/>
              <w:rPr>
                <w:i/>
              </w:rPr>
            </w:pPr>
            <w:r>
              <w:rPr>
                <w:i/>
              </w:rPr>
              <w:t>A perda do contato com a família;</w:t>
            </w:r>
          </w:p>
          <w:p w14:paraId="501A991F" w14:textId="77777777" w:rsidR="00C33A41" w:rsidRDefault="007B3952">
            <w:pPr>
              <w:numPr>
                <w:ilvl w:val="0"/>
                <w:numId w:val="14"/>
              </w:numPr>
              <w:ind w:left="360"/>
              <w:rPr>
                <w:i/>
              </w:rPr>
            </w:pPr>
            <w:r>
              <w:rPr>
                <w:i/>
              </w:rPr>
              <w:t>Medo da perda de familiares devido a contaminação por Covid-19.</w:t>
            </w:r>
          </w:p>
        </w:tc>
      </w:tr>
      <w:tr w:rsidR="00C33A41" w14:paraId="54EB7F91" w14:textId="77777777">
        <w:trPr>
          <w:jc w:val="center"/>
        </w:trPr>
        <w:tc>
          <w:tcPr>
            <w:tcW w:w="4738" w:type="dxa"/>
            <w:tcBorders>
              <w:top w:val="nil"/>
              <w:bottom w:val="nil"/>
            </w:tcBorders>
            <w:tcMar>
              <w:top w:w="0" w:type="dxa"/>
              <w:left w:w="108" w:type="dxa"/>
              <w:bottom w:w="0" w:type="dxa"/>
              <w:right w:w="108" w:type="dxa"/>
            </w:tcMar>
            <w:vAlign w:val="center"/>
          </w:tcPr>
          <w:p w14:paraId="3B6A1519" w14:textId="77777777" w:rsidR="00C33A41" w:rsidRDefault="00C33A41">
            <w:pPr>
              <w:rPr>
                <w:b/>
                <w:i/>
              </w:rPr>
            </w:pPr>
          </w:p>
          <w:p w14:paraId="6FB82324" w14:textId="77777777" w:rsidR="00C33A41" w:rsidRDefault="007B3952">
            <w:pPr>
              <w:jc w:val="center"/>
              <w:rPr>
                <w:b/>
                <w:i/>
              </w:rPr>
            </w:pPr>
            <w:r>
              <w:rPr>
                <w:b/>
                <w:i/>
              </w:rPr>
              <w:t>2. A presença de vínculos institucionais: o papel dos profissionais da internação no cotidiano dos adolescentes durante a pandemia</w:t>
            </w:r>
          </w:p>
        </w:tc>
        <w:tc>
          <w:tcPr>
            <w:tcW w:w="4188" w:type="dxa"/>
            <w:tcMar>
              <w:top w:w="0" w:type="dxa"/>
              <w:left w:w="108" w:type="dxa"/>
              <w:bottom w:w="0" w:type="dxa"/>
              <w:right w:w="108" w:type="dxa"/>
            </w:tcMar>
          </w:tcPr>
          <w:p w14:paraId="06290BBA" w14:textId="77777777" w:rsidR="00C33A41" w:rsidRDefault="007B3952">
            <w:pPr>
              <w:numPr>
                <w:ilvl w:val="0"/>
                <w:numId w:val="11"/>
              </w:numPr>
              <w:ind w:left="360"/>
              <w:rPr>
                <w:i/>
              </w:rPr>
            </w:pPr>
            <w:r>
              <w:rPr>
                <w:i/>
              </w:rPr>
              <w:t>Vínculos (genuínos?) com profissionais atuantes nas medidas socioeducativas de internação;</w:t>
            </w:r>
          </w:p>
          <w:p w14:paraId="6FB38468" w14:textId="77777777" w:rsidR="00C33A41" w:rsidRDefault="007B3952">
            <w:pPr>
              <w:numPr>
                <w:ilvl w:val="0"/>
                <w:numId w:val="11"/>
              </w:numPr>
              <w:ind w:left="360"/>
              <w:rPr>
                <w:i/>
              </w:rPr>
            </w:pPr>
            <w:r>
              <w:rPr>
                <w:i/>
              </w:rPr>
              <w:t>Construção de vínculos associados a uma ociosidade de práticas institucionais.</w:t>
            </w:r>
          </w:p>
        </w:tc>
      </w:tr>
      <w:tr w:rsidR="00C33A41" w14:paraId="0297EC77" w14:textId="77777777">
        <w:trPr>
          <w:jc w:val="center"/>
        </w:trPr>
        <w:tc>
          <w:tcPr>
            <w:tcW w:w="4738" w:type="dxa"/>
            <w:tcBorders>
              <w:top w:val="nil"/>
            </w:tcBorders>
            <w:tcMar>
              <w:top w:w="0" w:type="dxa"/>
              <w:left w:w="108" w:type="dxa"/>
              <w:bottom w:w="0" w:type="dxa"/>
              <w:right w:w="108" w:type="dxa"/>
            </w:tcMar>
            <w:vAlign w:val="center"/>
          </w:tcPr>
          <w:p w14:paraId="6989CC31" w14:textId="77777777" w:rsidR="00C33A41" w:rsidRDefault="007B3952">
            <w:pPr>
              <w:jc w:val="center"/>
              <w:rPr>
                <w:b/>
                <w:i/>
              </w:rPr>
            </w:pPr>
            <w:r>
              <w:rPr>
                <w:b/>
                <w:i/>
              </w:rPr>
              <w:t>3. A (</w:t>
            </w:r>
            <w:proofErr w:type="spellStart"/>
            <w:r>
              <w:rPr>
                <w:b/>
                <w:i/>
              </w:rPr>
              <w:t>des</w:t>
            </w:r>
            <w:proofErr w:type="spellEnd"/>
            <w:r>
              <w:rPr>
                <w:b/>
                <w:i/>
              </w:rPr>
              <w:t>)construção do processo educacional de adolescentes privados de liberdade no contexto pandêmico</w:t>
            </w:r>
          </w:p>
        </w:tc>
        <w:tc>
          <w:tcPr>
            <w:tcW w:w="4188" w:type="dxa"/>
            <w:tcMar>
              <w:top w:w="0" w:type="dxa"/>
              <w:left w:w="108" w:type="dxa"/>
              <w:bottom w:w="0" w:type="dxa"/>
              <w:right w:w="108" w:type="dxa"/>
            </w:tcMar>
          </w:tcPr>
          <w:p w14:paraId="666B70EE" w14:textId="77777777" w:rsidR="00C33A41" w:rsidRDefault="007B3952">
            <w:r>
              <w:rPr>
                <w:i/>
              </w:rPr>
              <w:t>3.</w:t>
            </w:r>
            <w:r>
              <w:t xml:space="preserve"> </w:t>
            </w:r>
            <w:r>
              <w:rPr>
                <w:i/>
              </w:rPr>
              <w:t>Rupturas dos adolescentes com os espaços escolares no período pré-pandemia;</w:t>
            </w:r>
          </w:p>
          <w:p w14:paraId="42D84156" w14:textId="77777777" w:rsidR="00C33A41" w:rsidRDefault="007B3952">
            <w:r>
              <w:rPr>
                <w:i/>
              </w:rPr>
              <w:t>3.2 Alternativas e práticas educacionais inadequadas à realidade dos adolescentes;</w:t>
            </w:r>
          </w:p>
          <w:p w14:paraId="7D4F6923" w14:textId="77777777" w:rsidR="00C33A41" w:rsidRDefault="007B3952">
            <w:r>
              <w:rPr>
                <w:i/>
              </w:rPr>
              <w:lastRenderedPageBreak/>
              <w:t>3.3 Impactos educacionais que a pandemia pode ocasionar na vida dos adolescentes em internação.</w:t>
            </w:r>
          </w:p>
          <w:p w14:paraId="6A816F4E" w14:textId="77777777" w:rsidR="00C33A41" w:rsidRDefault="00C33A41"/>
        </w:tc>
      </w:tr>
    </w:tbl>
    <w:p w14:paraId="19573EA4" w14:textId="77777777" w:rsidR="00C33A41" w:rsidRDefault="007B3952">
      <w:r>
        <w:lastRenderedPageBreak/>
        <w:t> Fonte: pesquisa de campo (2023)</w:t>
      </w:r>
    </w:p>
    <w:p w14:paraId="430ACFE7" w14:textId="77777777" w:rsidR="00C33A41" w:rsidRDefault="007B3952">
      <w:r>
        <w:tab/>
      </w:r>
    </w:p>
    <w:p w14:paraId="10D6B5D9" w14:textId="77777777" w:rsidR="00C33A41" w:rsidRDefault="00C33A41">
      <w:pPr>
        <w:spacing w:line="240" w:lineRule="auto"/>
      </w:pPr>
    </w:p>
    <w:p w14:paraId="180B1303" w14:textId="77777777" w:rsidR="00C33A41" w:rsidRDefault="007B3952">
      <w:pPr>
        <w:pStyle w:val="Ttulo2"/>
      </w:pPr>
      <w:bookmarkStart w:id="36" w:name="_heading=h.vx1227" w:colFirst="0" w:colLast="0"/>
      <w:bookmarkEnd w:id="36"/>
      <w:r>
        <w:t>2.1 Temática 1: A configuração dos vínculos familiares durante a pandemia do Covid-19</w:t>
      </w:r>
    </w:p>
    <w:p w14:paraId="7BE51102" w14:textId="77777777" w:rsidR="00C33A41" w:rsidRDefault="007B3952">
      <w:r>
        <w:tab/>
        <w:t xml:space="preserve">Esta categoria revelou como se estabeleceram as dinâmicas dos vínculos familiares dos adolescentes em cumprimento de medida socioeducativa de internação durante o período de pandemia. Os dados indicaram diferentes formas de vinculações entre a família e os adolescentes, identificando-se, principalmente: o fortalecimento de vínculos familiares ocasionados pelo contexto de isolamento social e o processo de internação; a ausência do contato com familiares durante a internação; o medo de perder membros da família por causa do Covid-19. </w:t>
      </w:r>
    </w:p>
    <w:p w14:paraId="1DCA7F67" w14:textId="77777777" w:rsidR="00C33A41" w:rsidRDefault="007B3952">
      <w:pPr>
        <w:ind w:firstLine="720"/>
      </w:pPr>
      <w:r>
        <w:t>Destaca-se que os subtemas foram organizados considerando uma cronologia de análise dos dados, portanto, o primeiro subtema traz dados do período da pandemia, mas anterior a internação, apresentando a presença de um fortalecimento de vínculos com a família e refutando, inclusive, uma das hipóteses do estudo, que seria a identificação de rupturas nesse contexto. Os dois subtemas seguintes também se referem ao período de pandemia, mas quando os adolescentes estavam em cumprimento de medidas socioeducativas de internação, em que se observa, efetivamente, a presença de rompimentos relacionais com os familiares devido às condições institucionais.</w:t>
      </w:r>
    </w:p>
    <w:p w14:paraId="7C8647B0" w14:textId="77777777" w:rsidR="00C33A41" w:rsidRDefault="00C33A41"/>
    <w:p w14:paraId="467930C2" w14:textId="77777777" w:rsidR="00C33A41" w:rsidRDefault="007B3952">
      <w:pPr>
        <w:pStyle w:val="Ttulo3"/>
      </w:pPr>
      <w:bookmarkStart w:id="37" w:name="_heading=h.111kx3o" w:colFirst="0" w:colLast="0"/>
      <w:bookmarkEnd w:id="37"/>
      <w:r>
        <w:t>2.1.1 A importância afetiva e social dos vínculos familiares</w:t>
      </w:r>
    </w:p>
    <w:p w14:paraId="32506C0D" w14:textId="77777777" w:rsidR="00C33A41" w:rsidRDefault="007B3952">
      <w:r>
        <w:tab/>
        <w:t xml:space="preserve">Este primeiro subtema abordou a importância que a família tem para os adolescentes que estão nas unidades de internação. Mesmo diante de diversos fatores de </w:t>
      </w:r>
      <w:r>
        <w:lastRenderedPageBreak/>
        <w:t>risco familiares e sociais que a literatura científica já verificou nesta população (Medeiros &amp; Paiva, 2015), alguns participantes indicaram que a pandemia, paradoxalmente, ajudou a fortalecer os vínculos com os membros da família, ao invés de enfraquecê-los, o que, de certa forma, contrariou as hipóteses delineadas para esta investigação. Isso pode estar associado, como mostraram os relatos, com uma proximidade maior com a casa e os membros da família devido ao isolamento social ou ainda com a valorização da família por não os abandonar diante da internação.</w:t>
      </w:r>
    </w:p>
    <w:p w14:paraId="524E05F0" w14:textId="77777777" w:rsidR="00C33A41" w:rsidRDefault="007B3952">
      <w:pPr>
        <w:spacing w:line="240" w:lineRule="auto"/>
        <w:ind w:left="2160" w:firstLine="708"/>
      </w:pPr>
      <w:r>
        <w:rPr>
          <w:i/>
        </w:rPr>
        <w:t xml:space="preserve">“A maior importância… Foi a importância da minha família…tipo assim, eu posso contar com a família, porque a família me auxiliando, que eu posso ver que é auxiliando de uma forma positiva, eu posso confiar mesmo na minha família, que estão do meu lado.” (Antônio, 17 anos, </w:t>
      </w:r>
      <w:r>
        <w:rPr>
          <w:i/>
          <w:sz w:val="22"/>
          <w:szCs w:val="22"/>
        </w:rPr>
        <w:t>São Paulo</w:t>
      </w:r>
      <w:r>
        <w:rPr>
          <w:i/>
        </w:rPr>
        <w:t>)</w:t>
      </w:r>
    </w:p>
    <w:p w14:paraId="1646B283" w14:textId="77777777" w:rsidR="00C33A41" w:rsidRDefault="00C33A41">
      <w:pPr>
        <w:spacing w:line="240" w:lineRule="auto"/>
      </w:pPr>
    </w:p>
    <w:p w14:paraId="313B1BC4" w14:textId="77777777" w:rsidR="00C33A41" w:rsidRDefault="007B3952">
      <w:pPr>
        <w:spacing w:line="240" w:lineRule="auto"/>
        <w:ind w:left="2160" w:firstLine="708"/>
      </w:pPr>
      <w:r>
        <w:rPr>
          <w:i/>
        </w:rPr>
        <w:t>“Conversei mais com eles. Pude conhecer mais, né? Porque conhecia, mas conheci mais ainda. [Antes] era mais na rua, só na rua, na rua e não tava muito conseguindo vincular, né? O laço de família. Ajudou muito. Muito.” (Henrique, 19 anos, Natal)</w:t>
      </w:r>
    </w:p>
    <w:p w14:paraId="43A4EF51" w14:textId="77777777" w:rsidR="00C33A41" w:rsidRDefault="00C33A41">
      <w:pPr>
        <w:spacing w:line="240" w:lineRule="auto"/>
      </w:pPr>
    </w:p>
    <w:p w14:paraId="297DCA59" w14:textId="77777777" w:rsidR="00C33A41" w:rsidRDefault="007B3952">
      <w:pPr>
        <w:spacing w:line="240" w:lineRule="auto"/>
        <w:ind w:left="2160" w:firstLine="708"/>
      </w:pPr>
      <w:r>
        <w:rPr>
          <w:i/>
        </w:rPr>
        <w:t xml:space="preserve">“Dar mais atenção a minha família. A pessoa tem a família, mas vai na rotina do dia dele e não presta atenção. Trancado não, com a família da pessoa lá, o problema que é dela vira seu também e assim por diante. A pandemia ajudou muito. Foi chamar atenção, saber o problema que minha mãe tá enfrentando, o meu pai tava enfrentando, meus irmãos tá enfrentando.” (Igor, 18 anos, </w:t>
      </w:r>
      <w:r>
        <w:rPr>
          <w:i/>
          <w:sz w:val="22"/>
          <w:szCs w:val="22"/>
        </w:rPr>
        <w:t>São Paulo</w:t>
      </w:r>
      <w:r>
        <w:rPr>
          <w:i/>
        </w:rPr>
        <w:t>)</w:t>
      </w:r>
    </w:p>
    <w:p w14:paraId="59C87C97" w14:textId="77777777" w:rsidR="00C33A41" w:rsidRDefault="00C33A41">
      <w:pPr>
        <w:spacing w:line="240" w:lineRule="auto"/>
      </w:pPr>
    </w:p>
    <w:p w14:paraId="7B6098E6" w14:textId="77777777" w:rsidR="00C33A41" w:rsidRDefault="007B3952">
      <w:pPr>
        <w:ind w:firstLine="720"/>
      </w:pPr>
      <w:r>
        <w:t xml:space="preserve">A literatura sobre desenvolvimento humano tem indicado o quanto a família nem sempre se configura como um sistema protetivo a crianças e adolescentes (Medeiros &amp; Paiva, 2015), em especial àquelas em situação de risco psicossocial. Entretanto, mesmo diante de adversidades e condições de vida difíceis, algumas famílias ainda conseguem se manter como uma rede de apoio afetiva e social, como indica a fala dos participantes. Ainda que estudos tenham indicado o aumento das violências no contexto intrafamiliar (Marques et al., 2020; ONU, 2020a; WHO, 2020), parte dos adolescentes entrevistados indicaram que não houve rupturas relacionais com a família durante a pandemia. Os </w:t>
      </w:r>
      <w:r>
        <w:lastRenderedPageBreak/>
        <w:t>momentos de interferências nos vínculos, que serão apresentados nas temáticas subsequentes, foram as condições da privação de liberdade que não permitiram ou viabilizaram o contato efetivo dentro das unidades de internação. </w:t>
      </w:r>
    </w:p>
    <w:p w14:paraId="43D6ACE9" w14:textId="77777777" w:rsidR="00C33A41" w:rsidRDefault="007B3952">
      <w:pPr>
        <w:ind w:firstLine="720"/>
      </w:pPr>
      <w:r>
        <w:t xml:space="preserve">Estes dados corroboram os achados do estudo de Julião e Mendes (2019) em que, por intermédio de uma análise dos dados do Departamento Geral de Ações Socioeducativas (DEGASE), verificaram que mais de 68% dos adolescentes entrevistados identificaram a família como uma rede de apoio e afeto. Os autores também constataram que os adolescentes consideram que os pais os avaliam de forma positiva e que se esforçam para realizar um acompanhamento parental adequado (Julião &amp; Mendes, 2019). Inclusive, os dados identificados contradizem outros estudos que pontuam o quanto o período de isolamento social se tornou um risco para adolescentes que já vinham de famílias em exclusão social (Fundação Oswaldo Cruz [Fiocruz], 2020b; </w:t>
      </w:r>
      <w:proofErr w:type="spellStart"/>
      <w:r>
        <w:t>Paludo</w:t>
      </w:r>
      <w:proofErr w:type="spellEnd"/>
      <w:r>
        <w:t xml:space="preserve"> et al., 2020). </w:t>
      </w:r>
    </w:p>
    <w:p w14:paraId="1DB43C24" w14:textId="77777777" w:rsidR="00C33A41" w:rsidRDefault="007B3952">
      <w:pPr>
        <w:ind w:firstLine="720"/>
      </w:pPr>
      <w:bookmarkStart w:id="38" w:name="_heading=h.3l18frh" w:colFirst="0" w:colLast="0"/>
      <w:bookmarkEnd w:id="38"/>
      <w:r>
        <w:t xml:space="preserve">Sabendo da importância dos vínculos familiares para adolescentes na socioeducação, o próprio Plano Nacional de Promoção, Proteção e Defesa do Direito de Crianças e Adolescentes à Convivência Familiar e Comunitária (CNAS &amp; CONANDA 2006) defende o investimento em políticas de atenção às famílias. Assim, deve-se considerar novamente o sistema familiar como promotor de desenvolvimento de forma que, o fortalecimento dos vínculos com a família no contexto pós-pandêmico se configure como possibilidade de desenvolvimento de processos proximais com desfecho positivo, ou seja, propiciando competências como novos conhecimentos, habilidades e capacidade dos adolescentes de controlar seu próprio comportamento (Morais &amp; </w:t>
      </w:r>
      <w:proofErr w:type="spellStart"/>
      <w:r>
        <w:t>Koller</w:t>
      </w:r>
      <w:proofErr w:type="spellEnd"/>
      <w:r>
        <w:t xml:space="preserve">, 2004). </w:t>
      </w:r>
    </w:p>
    <w:p w14:paraId="2673EE39" w14:textId="77777777" w:rsidR="00C33A41" w:rsidRDefault="007B3952">
      <w:pPr>
        <w:ind w:firstLine="720"/>
      </w:pPr>
      <w:r>
        <w:t xml:space="preserve">Ainda de acordo com a TBDH, os processos proximais podem ocorrer por diversos meios, entre eles com atividades do indivíduo com outras pessoas. Isso possibilitaria a formação do sistema diádico (pai-filho, mãe-filho, irmão- irmão). As </w:t>
      </w:r>
      <w:r>
        <w:lastRenderedPageBreak/>
        <w:t xml:space="preserve">díades são importantes, segundo Bronfenbrenner (2011), pois são blocos construtores básicos para a formação futura de relações interpessoais mais complexas, tais como as tríades e as </w:t>
      </w:r>
      <w:proofErr w:type="spellStart"/>
      <w:r>
        <w:t>poliádicas</w:t>
      </w:r>
      <w:proofErr w:type="spellEnd"/>
      <w:r>
        <w:t>, reforçando a importância de políticas que garantam o fortalecimento de vínculos familiares no desenvolvimento e na reinserção social de adolescentes que infracionam e entraram no sistema de internação.</w:t>
      </w:r>
    </w:p>
    <w:p w14:paraId="4886BC93" w14:textId="77777777" w:rsidR="00C33A41" w:rsidRDefault="007B3952">
      <w:pPr>
        <w:pBdr>
          <w:top w:val="nil"/>
          <w:left w:val="nil"/>
          <w:bottom w:val="nil"/>
          <w:right w:val="nil"/>
          <w:between w:val="nil"/>
        </w:pBdr>
        <w:ind w:firstLine="660"/>
      </w:pPr>
      <w:r>
        <w:t xml:space="preserve">É pertinente ressaltar o quão paradoxal é o fato de um evento catastrófico (como a pandemia) produzir melhoria nos vínculos familiares de alguns adolescentes. Na lógica do capital e do mundo do trabalho, as condições de vida são tão degradantes e extenuantes, que, para muitas famílias, talvez tenha sido a primeira vez que tiveram a oportunidade de estarem juntos, se ajudarem mutuamente e se fortalecerem coletivamente diante de adversidades. Isso porque o Estado, que deveria garantir que as famílias tivessem condições para efetivamente participar do desenvolvimento das suas crianças e adolescentes, acaba voltando seus investimentos para o setor econômico e desassistindo a área social (Gomes &amp; Pereira, 2005). </w:t>
      </w:r>
    </w:p>
    <w:p w14:paraId="73FD3242" w14:textId="77777777" w:rsidR="00C33A41" w:rsidRDefault="007B3952">
      <w:pPr>
        <w:pBdr>
          <w:top w:val="nil"/>
          <w:left w:val="nil"/>
          <w:bottom w:val="nil"/>
          <w:right w:val="nil"/>
          <w:between w:val="nil"/>
        </w:pBdr>
        <w:ind w:firstLine="660"/>
      </w:pPr>
      <w:r>
        <w:t>Na pandemia não foi diferente, visto que o presidente que estava governando o país no período da pandemia causou um desmonte sem precedentes nas políticas públicas (Paixão et al., 2020). Entretanto, mesmo frente a estes desafios, os dados da pesquisa demonstram a importância do convívio familiar, visto que os vínculos se fortaleceram, mesmo frente a uma condição socialmente estressora.</w:t>
      </w:r>
    </w:p>
    <w:p w14:paraId="537E0C88" w14:textId="77777777" w:rsidR="00C33A41" w:rsidRDefault="007B3952">
      <w:pPr>
        <w:spacing w:line="240" w:lineRule="auto"/>
      </w:pPr>
      <w:r>
        <w:br/>
      </w:r>
    </w:p>
    <w:p w14:paraId="25B38F4E" w14:textId="77777777" w:rsidR="00C33A41" w:rsidRDefault="007B3952">
      <w:pPr>
        <w:pStyle w:val="Ttulo3"/>
        <w:rPr>
          <w:i w:val="0"/>
        </w:rPr>
      </w:pPr>
      <w:bookmarkStart w:id="39" w:name="_heading=h.206ipza" w:colFirst="0" w:colLast="0"/>
      <w:bookmarkEnd w:id="39"/>
      <w:r>
        <w:t>2.1.2 A perda do contato com a família</w:t>
      </w:r>
    </w:p>
    <w:p w14:paraId="748D6B44" w14:textId="77777777" w:rsidR="00C33A41" w:rsidRDefault="007B3952">
      <w:pPr>
        <w:ind w:firstLine="708"/>
      </w:pPr>
      <w:r>
        <w:t xml:space="preserve">Este segundo subtema se referiu aos dados apresentados pelos adolescentes que indicaram uma perda do contato com pessoas da família durante o cumprimento da medida de internação, especificamente considerando o período inicial da pandemia e o isolamento social. De acordo com os relatos dos adolescentes, no início da pandemia do </w:t>
      </w:r>
      <w:r>
        <w:lastRenderedPageBreak/>
        <w:t>Covid-19 as visitas que recebiam dentro da instituição de internação foram completamente suspensas, devido ao alto risco de contaminação. Dessa forma, em um primeiro momento, os adolescentes indicaram a ausência total de contato com suas famílias dentro das unidades de internação. </w:t>
      </w:r>
    </w:p>
    <w:p w14:paraId="7058F7ED" w14:textId="77777777" w:rsidR="00C33A41" w:rsidRDefault="00C33A41">
      <w:pPr>
        <w:spacing w:line="240" w:lineRule="auto"/>
      </w:pPr>
    </w:p>
    <w:p w14:paraId="202C326A" w14:textId="77777777" w:rsidR="00C33A41" w:rsidRDefault="007B3952">
      <w:pPr>
        <w:spacing w:line="240" w:lineRule="auto"/>
        <w:ind w:left="1440"/>
      </w:pPr>
      <w:r>
        <w:rPr>
          <w:i/>
        </w:rPr>
        <w:t>“Foi péssimo na real, né? O cara ficou sem visita um tempo, eles fecharam as visitas, daí já era. A visita pro cara que tá preso é tudo, né? Vale ouro, daí foi ruim esse período, uma solidão assim por causa da visita do cara que não vinha” (Lucas, 19 anos, Porto Alegre)</w:t>
      </w:r>
    </w:p>
    <w:p w14:paraId="5A96D4F6" w14:textId="77777777" w:rsidR="00C33A41" w:rsidRDefault="00C33A41">
      <w:pPr>
        <w:spacing w:line="240" w:lineRule="auto"/>
      </w:pPr>
    </w:p>
    <w:p w14:paraId="6774D401" w14:textId="77777777" w:rsidR="00C33A41" w:rsidRDefault="007B3952">
      <w:pPr>
        <w:spacing w:line="240" w:lineRule="auto"/>
        <w:ind w:left="1440"/>
      </w:pPr>
      <w:r>
        <w:rPr>
          <w:i/>
        </w:rPr>
        <w:t xml:space="preserve">“Diminuiu o contato com a família, porque não podia ter visita, por enquanto estava brecado lá. Foi um pouco ruim, né? Já estava preso, já estava ruim, aí não poder ver sua família, sua mãe…” (Luiz, 16 anos, </w:t>
      </w:r>
      <w:r>
        <w:rPr>
          <w:i/>
          <w:sz w:val="22"/>
          <w:szCs w:val="22"/>
        </w:rPr>
        <w:t>São Paulo</w:t>
      </w:r>
      <w:r>
        <w:rPr>
          <w:i/>
        </w:rPr>
        <w:t>)</w:t>
      </w:r>
    </w:p>
    <w:p w14:paraId="07F6271F" w14:textId="77777777" w:rsidR="00C33A41" w:rsidRDefault="00C33A41">
      <w:pPr>
        <w:spacing w:line="240" w:lineRule="auto"/>
      </w:pPr>
    </w:p>
    <w:p w14:paraId="0947944D" w14:textId="77777777" w:rsidR="00C33A41" w:rsidRDefault="007B3952">
      <w:pPr>
        <w:spacing w:line="240" w:lineRule="auto"/>
        <w:ind w:left="1440"/>
      </w:pPr>
      <w:r>
        <w:rPr>
          <w:i/>
        </w:rPr>
        <w:t>“[...]não podia abraçar a família, não podia ver um familiar que estava longe, né?! E tinha que ficar isolado. [...]a pandemia afetou isso, as visitas do CASE. Gerou um constrangimento, né?! Não pude ver a família nem de longe.” (Diego, 17 anos, Santa Maria).</w:t>
      </w:r>
    </w:p>
    <w:p w14:paraId="1A10FEC1" w14:textId="77777777" w:rsidR="00C33A41" w:rsidRDefault="00C33A41">
      <w:pPr>
        <w:spacing w:line="240" w:lineRule="auto"/>
      </w:pPr>
    </w:p>
    <w:p w14:paraId="1909EF1C" w14:textId="77777777" w:rsidR="00C33A41" w:rsidRDefault="007B3952">
      <w:pPr>
        <w:spacing w:line="240" w:lineRule="auto"/>
        <w:ind w:left="1440"/>
        <w:rPr>
          <w:i/>
        </w:rPr>
      </w:pPr>
      <w:r>
        <w:rPr>
          <w:i/>
        </w:rPr>
        <w:t>“As visitas, elas param tudo, né? Quando tão em pandemia, daí não entra mais. Isso aí pesa, né? Pra quem tá preso, porque fica longe da família, de todo mundo. [...] foi meses assim.” (Junior, 18 anos, Porto Alegre)</w:t>
      </w:r>
    </w:p>
    <w:p w14:paraId="2D26B31B" w14:textId="77777777" w:rsidR="00C33A41" w:rsidRDefault="00C33A41">
      <w:pPr>
        <w:spacing w:line="240" w:lineRule="auto"/>
        <w:ind w:left="1440"/>
      </w:pPr>
    </w:p>
    <w:p w14:paraId="40B1D38C" w14:textId="77777777" w:rsidR="00C33A41" w:rsidRDefault="007B3952">
      <w:pPr>
        <w:ind w:firstLine="720"/>
      </w:pPr>
      <w:r>
        <w:t>Como observado, a suspensão das visitas familiares afetou consideravelmente os adolescentes que estavam cumprindo medida de internação durante o período do isolamento social. É importante destacar que as orientações relacionadas às visitas dentro das instituições de internação provisória, de semiliberdade e de internação foi realizada oficialmente, por meio de uma Recomendação Conjunta Nº1 (2020) do Conselho Nacional de Justiça, Conselho Nacional do Ministério Público e o Ministério da Mulher, da Família e dos Direitos Humanos. </w:t>
      </w:r>
    </w:p>
    <w:p w14:paraId="010D794E" w14:textId="77777777" w:rsidR="00C33A41" w:rsidRDefault="007B3952">
      <w:pPr>
        <w:ind w:firstLine="720"/>
      </w:pPr>
      <w:r>
        <w:t xml:space="preserve">No documento supracitado, o contato com a família durante o isolamento deveria ser garantido, no mínimo, semanalmente e de maneira presencial, caso fosse possível seguir os protocolos sanitários recomendados pelos órgãos de saúde (Recomendação Conjunta, Nº 1, 2020). Entretanto, como relatado pelos adolescentes na presente pesquisa, </w:t>
      </w:r>
      <w:r>
        <w:lastRenderedPageBreak/>
        <w:t xml:space="preserve">em um dado momento a recomendação não foi seguida e eles foram privados do contato com familiares. Inclusive, um dos adolescentes relatou que foram meses sem um contato efetivo com sua família. Portanto, corroborando com o estudo de Silva e </w:t>
      </w:r>
      <w:proofErr w:type="spellStart"/>
      <w:r>
        <w:t>Arguelo</w:t>
      </w:r>
      <w:proofErr w:type="spellEnd"/>
      <w:r>
        <w:t xml:space="preserve"> (2022), o que ocorreu durante a pandemia foi a violação ao direito basilar da manutenção do vínculo familiar durante a medida socioeducativa de internação. </w:t>
      </w:r>
    </w:p>
    <w:p w14:paraId="7CF357D6" w14:textId="77777777" w:rsidR="00C33A41" w:rsidRDefault="007B3952">
      <w:r>
        <w:tab/>
        <w:t xml:space="preserve">Complementarmente, o Conselho Nacional de Justiça orientou, também na Recomendação Conjunta, Nº 1 (2020), que, em casos cujas visitas presenciais não fossem possíveis, o contato com as famílias deveria ser mantido por outros meios tecnológicos, como chamadas por vídeo ou telefonemas. Preconizou-se, ainda, que as chamadas por vídeos ou telefônicas deveriam ser realizadas garantindo aos adolescentes a privacidade no contato com os familiares (Recomendação Conjunta, Nº 1, 2020). </w:t>
      </w:r>
    </w:p>
    <w:p w14:paraId="1E7D96EB" w14:textId="77777777" w:rsidR="00C33A41" w:rsidRDefault="007B3952">
      <w:pPr>
        <w:ind w:firstLine="720"/>
      </w:pPr>
      <w:r>
        <w:t>Ainda neste sentido, os participantes da pesquisa indicaram que, posteriormente, algumas unidades retomaram as visitas presenciais, mas com restrições de contato, percebidas pelos adolescentes ainda como um fator negativo para os vínculos. </w:t>
      </w:r>
    </w:p>
    <w:p w14:paraId="53138312" w14:textId="77777777" w:rsidR="00C33A41" w:rsidRDefault="007B3952">
      <w:pPr>
        <w:spacing w:line="240" w:lineRule="auto"/>
        <w:ind w:left="1440"/>
      </w:pPr>
      <w:r>
        <w:rPr>
          <w:i/>
        </w:rPr>
        <w:t>“[...] O que foi ruim é que tinha uma placa transparente. Aí na visita eu falava com ele ali, através daquela coisa. Ah, também a pandemia afetou isso, as visitas do CASE, que no caso antes podia trazer bolachinhas, essas coisas assim” (Diego, 17 anos, Santa Maria)</w:t>
      </w:r>
    </w:p>
    <w:p w14:paraId="2E98313E" w14:textId="77777777" w:rsidR="00C33A41" w:rsidRDefault="00C33A41">
      <w:pPr>
        <w:spacing w:line="240" w:lineRule="auto"/>
      </w:pPr>
    </w:p>
    <w:p w14:paraId="1FA5D9FD" w14:textId="77777777" w:rsidR="00C33A41" w:rsidRDefault="007B3952">
      <w:pPr>
        <w:spacing w:line="240" w:lineRule="auto"/>
        <w:ind w:left="1440"/>
      </w:pPr>
      <w:r>
        <w:rPr>
          <w:i/>
        </w:rPr>
        <w:t>“Ah, eu não recebia muita visita, peguei pouca visita. Tinha parado um tempo, daí depois voltou no plástico lá na frente. Era um plástico, uma proteção. Tu tá aqui e a visita tá aqui, aí tinha um plástico no meio. Daí ficava conversando ali. [...] era ruim, né?! Não tinha contato físico. Não dava pra dar um abraço” (Raul, 18 anos, Santa Maria)</w:t>
      </w:r>
    </w:p>
    <w:p w14:paraId="38A876CF" w14:textId="77777777" w:rsidR="00C33A41" w:rsidRDefault="00C33A41">
      <w:pPr>
        <w:spacing w:line="240" w:lineRule="auto"/>
      </w:pPr>
    </w:p>
    <w:p w14:paraId="31E2AA02" w14:textId="77777777" w:rsidR="00C33A41" w:rsidRDefault="007B3952">
      <w:pPr>
        <w:spacing w:line="240" w:lineRule="auto"/>
        <w:ind w:left="1440"/>
      </w:pPr>
      <w:r>
        <w:rPr>
          <w:i/>
        </w:rPr>
        <w:t>“Quando tava em pandemia, daí não entrou mais a família, só por chamada de vídeo. [...] eu não liguei muito porque sabia que minha família tava bem. Mas tinha uns meninos que não conseguiam manter o contato familiar. Então tinha aquele estresse, aquele negócio” (Pedro, 18 anos, Natal)</w:t>
      </w:r>
    </w:p>
    <w:p w14:paraId="5FA0DB27" w14:textId="77777777" w:rsidR="00C33A41" w:rsidRDefault="00C33A41">
      <w:pPr>
        <w:spacing w:line="240" w:lineRule="auto"/>
      </w:pPr>
    </w:p>
    <w:p w14:paraId="39044B7F" w14:textId="77777777" w:rsidR="00C33A41" w:rsidRDefault="007B3952">
      <w:r>
        <w:tab/>
        <w:t xml:space="preserve">Os vínculos familiares de adolescentes que cumprem medidas socioeducativas é um ponto crucial do trabalho educativo (Lei nº 12.594, 2012). A maior parte dos adolescentes envolvidos em atos infracionais são oriundos de famílias de classes </w:t>
      </w:r>
      <w:r>
        <w:lastRenderedPageBreak/>
        <w:t>socioeconomicamente desfavorecidas e que sofrem com os desdobramentos históricos e sociais de um país desigual como o Brasil (Medeiros &amp; Paiva, 2015). A própria promulgação do SINASE (Lei nº 12.594, 2012) indica centralizar a atenção às famílias nas políticas públicas de socioeducação, sendo a manutenção desses vínculos um dos elementos centrais da rotina das unidades socioeducacionais. </w:t>
      </w:r>
    </w:p>
    <w:p w14:paraId="74D1294A" w14:textId="77777777" w:rsidR="00C33A41" w:rsidRDefault="007B3952">
      <w:r>
        <w:tab/>
        <w:t>Porém, como revelaram os dados trazidos pelos participantes, a pandemia do Covid-19 acabou impactando diretamente os preceitos básicos garantidos aos adolescentes em internação. E, para além dos reflexos sociais, também se faz necessário considerar a interferência dessa dificuldade na manutenção dos vínculos durante a pandemia para o desenvolvimento dos adolescentes. De acordo com a Teoria Bioecológica do Desenvolvimento Humano, a família é considerada um ambiente primário do microssistema (Bronfenbrenner, 2011) e pode interferir nas demais dimensões ecológicas, pressupondo, portanto, que alterações nesse contexto impactam diretamente o desenvolvimento de crianças e adolescentes (Costa et al., 2021). Dessa forma, é necessário considerar como a fragilização de uma dimensão tão significativa de desenvolvimento vai refletir, longitudinalmente, na vida desses jovens e em outros sistemas de desenvolvimento.</w:t>
      </w:r>
    </w:p>
    <w:p w14:paraId="1729FA24" w14:textId="77777777" w:rsidR="00C33A41" w:rsidRDefault="007B3952">
      <w:r>
        <w:tab/>
        <w:t xml:space="preserve">Além disso, os processos de interação recíproca do indivíduo com outras pessoas, ocorrendo de forma regular e com períodos mais estendidos, promovem os processos proximais (Bronfenbrenner, 2011). Sendo assim, a perda de contato dos adolescentes na internação com suas famílias de origem pode ter dificultado o pleno desenvolvimento, visto que os processos proximais possíveis de ocorrer com as pessoas que compõem seu microssistema primário encontravam-se impossibilitados. Isso se deu, em parte, devido à pandemia do Covid-19 e suas restrições, mas também pela inadequação do sistema </w:t>
      </w:r>
      <w:r>
        <w:lastRenderedPageBreak/>
        <w:t>socioeducativo em prover recursos e estratégias para a manutenção dos vínculos com as famílias.</w:t>
      </w:r>
    </w:p>
    <w:p w14:paraId="406DED1A" w14:textId="77777777" w:rsidR="00C33A41" w:rsidRDefault="007B3952">
      <w:pPr>
        <w:ind w:firstLine="720"/>
      </w:pPr>
      <w:r>
        <w:t xml:space="preserve">Nesse ínterim, é importante destacar que, estando em privação de liberdade, o adolescente já se encontra impedido de obter interações e processos proximais com outros contextos, ou os tem de forma diferente e limitada do que realizava até a aplicação da medida de internação. Portanto, a participação e o engajamento em diferentes ambientes podem promover ou limitar desenvolvimento (Santos &amp; </w:t>
      </w:r>
      <w:proofErr w:type="spellStart"/>
      <w:r>
        <w:t>Böing</w:t>
      </w:r>
      <w:proofErr w:type="spellEnd"/>
      <w:r>
        <w:t>, 2018) e, no Brasil, frequentemente, o sistema socioeducativo não oferece acesso a contextos educacionais, culturais, sociais, entre outros, de forma adequada (</w:t>
      </w:r>
      <w:proofErr w:type="spellStart"/>
      <w:r>
        <w:rPr>
          <w:color w:val="000000"/>
        </w:rPr>
        <w:t>Schwan</w:t>
      </w:r>
      <w:proofErr w:type="spellEnd"/>
      <w:r>
        <w:t xml:space="preserve"> &amp; Secco, 2020). Como identificado, nem mesmo o direito básico de manutenção dos vínculos familiares foram garantidos na pandemia, fragilizando diferentes ecologias de desenvolvimento desses adolescentes, em especial o familiar. </w:t>
      </w:r>
    </w:p>
    <w:p w14:paraId="542DD6DC" w14:textId="77777777" w:rsidR="00C33A41" w:rsidRDefault="00C33A41">
      <w:pPr>
        <w:spacing w:line="240" w:lineRule="auto"/>
      </w:pPr>
    </w:p>
    <w:p w14:paraId="7D989CA5" w14:textId="77777777" w:rsidR="00C33A41" w:rsidRDefault="007B3952">
      <w:pPr>
        <w:pStyle w:val="Ttulo3"/>
      </w:pPr>
      <w:bookmarkStart w:id="40" w:name="_heading=h.4k668n3" w:colFirst="0" w:colLast="0"/>
      <w:bookmarkEnd w:id="40"/>
      <w:r>
        <w:t>2.1.3 Medo da perda de familiares devido a contaminação por Covid-19 </w:t>
      </w:r>
    </w:p>
    <w:p w14:paraId="62BE6744" w14:textId="77777777" w:rsidR="00C33A41" w:rsidRDefault="007B3952">
      <w:pPr>
        <w:ind w:firstLine="720"/>
      </w:pPr>
      <w:r>
        <w:t>No terceiro subtema, organizou-se os dados referentes a uma sensação ou sentimento constante dos adolescentes em relação ao medo de perder algum familiar por causa do vírus do Covid-19. Ao falarem sobre o período pandêmico, além da diminuição do contato, os participantes, frequentemente, verbalizaram o receio que sentiram em ter membros da família contaminados e mortos durante a pandemia. De forma mais específica, os relatos indicaram principalmente uma preocupação maior direcionada a pessoas mais velhas da família. </w:t>
      </w:r>
    </w:p>
    <w:p w14:paraId="3D8C892D" w14:textId="77777777" w:rsidR="00C33A41" w:rsidRDefault="007B3952">
      <w:pPr>
        <w:spacing w:line="240" w:lineRule="auto"/>
        <w:ind w:left="1440"/>
      </w:pPr>
      <w:r>
        <w:rPr>
          <w:i/>
        </w:rPr>
        <w:t>“[...] minha família tinha pessoa mais idosa, que… a pessoa tinha que evitar de ver pra não… passar covid pra ele né? Caso a pessoa tivesse.” (Henrique, 19 anos, Natal)</w:t>
      </w:r>
    </w:p>
    <w:p w14:paraId="53774549" w14:textId="77777777" w:rsidR="00C33A41" w:rsidRDefault="00C33A41">
      <w:pPr>
        <w:spacing w:line="240" w:lineRule="auto"/>
      </w:pPr>
    </w:p>
    <w:p w14:paraId="21A9D55E" w14:textId="77777777" w:rsidR="00C33A41" w:rsidRDefault="007B3952">
      <w:pPr>
        <w:spacing w:line="240" w:lineRule="auto"/>
        <w:ind w:left="1440"/>
      </w:pPr>
      <w:r>
        <w:rPr>
          <w:i/>
        </w:rPr>
        <w:t>“[...] fica pensando na mente também, se pega essa doença aí na vó do cara e morre? Daí como é que fica?” (Lucas, 18 anos, Porto Alegre)</w:t>
      </w:r>
    </w:p>
    <w:p w14:paraId="0B6B3471" w14:textId="77777777" w:rsidR="00C33A41" w:rsidRDefault="00C33A41">
      <w:pPr>
        <w:spacing w:line="240" w:lineRule="auto"/>
      </w:pPr>
    </w:p>
    <w:p w14:paraId="2AC79CDB" w14:textId="77777777" w:rsidR="00C33A41" w:rsidRDefault="007B3952">
      <w:pPr>
        <w:spacing w:line="240" w:lineRule="auto"/>
        <w:ind w:left="1440"/>
      </w:pPr>
      <w:r>
        <w:rPr>
          <w:i/>
        </w:rPr>
        <w:t xml:space="preserve">“Eu penso assim, o mais difícil se eu perdesse minha família. Eu não sabia o que ia fazer, tipo não sei se eu ia me revoltar, não sei como </w:t>
      </w:r>
      <w:r>
        <w:rPr>
          <w:i/>
        </w:rPr>
        <w:lastRenderedPageBreak/>
        <w:t xml:space="preserve">ia ficar, ou ficar abalado. Se eu perder algum parente próximo assim, que fica dentro de casa, não sei qual vai ser minha reação. O meu medo é dessa forma, perder algum parente bem próximo.” (Antônio, 17 anos, </w:t>
      </w:r>
      <w:r>
        <w:rPr>
          <w:i/>
          <w:sz w:val="22"/>
          <w:szCs w:val="22"/>
        </w:rPr>
        <w:t>São Paulo</w:t>
      </w:r>
      <w:r>
        <w:rPr>
          <w:i/>
        </w:rPr>
        <w:t>)</w:t>
      </w:r>
    </w:p>
    <w:p w14:paraId="46D9542D" w14:textId="77777777" w:rsidR="00C33A41" w:rsidRDefault="00C33A41">
      <w:pPr>
        <w:spacing w:line="240" w:lineRule="auto"/>
      </w:pPr>
    </w:p>
    <w:p w14:paraId="1A7F1B4A" w14:textId="77777777" w:rsidR="00C33A41" w:rsidRDefault="007B3952">
      <w:pPr>
        <w:spacing w:line="240" w:lineRule="auto"/>
        <w:ind w:left="1440"/>
      </w:pPr>
      <w:r>
        <w:rPr>
          <w:i/>
        </w:rPr>
        <w:t>“Ah, eu fiquei muito preocupado com os familiares aqui dentro. Porque, vai saber se pegaram a doença?</w:t>
      </w:r>
      <w:r>
        <w:t xml:space="preserve"> </w:t>
      </w:r>
      <w:r>
        <w:rPr>
          <w:i/>
        </w:rPr>
        <w:t>Eu não recebia muita visita, às vezes minha família não podia vir.” (Raul, 18 anos, Santa Maria)</w:t>
      </w:r>
    </w:p>
    <w:p w14:paraId="1946B0AA" w14:textId="77777777" w:rsidR="00C33A41" w:rsidRDefault="00C33A41">
      <w:pPr>
        <w:spacing w:line="240" w:lineRule="auto"/>
      </w:pPr>
    </w:p>
    <w:p w14:paraId="47F427E0" w14:textId="77777777" w:rsidR="00C33A41" w:rsidRDefault="007B3952">
      <w:r>
        <w:tab/>
        <w:t xml:space="preserve">De acordo com os relatos, durante o período da pandemia, os adolescentes vivenciaram uma preocupação em perder pessoas da família. Esse dado vai ao encontro com estudos anteriores que indicaram que o cenário pandêmico afetou o bem-estar e o desenvolvimento de uma geração de adolescentes, justamente devido a exposição a estresses agudos, entre eles a preocupação com familiares (Cardenas et al., 2020; </w:t>
      </w:r>
      <w:proofErr w:type="spellStart"/>
      <w:r>
        <w:t>Gadagnoto</w:t>
      </w:r>
      <w:proofErr w:type="spellEnd"/>
      <w:r>
        <w:t xml:space="preserve"> et al., 2022; </w:t>
      </w:r>
      <w:proofErr w:type="spellStart"/>
      <w:r>
        <w:t>Guessoum</w:t>
      </w:r>
      <w:proofErr w:type="spellEnd"/>
      <w:r>
        <w:t xml:space="preserve"> et al., 2020). </w:t>
      </w:r>
    </w:p>
    <w:p w14:paraId="7CAA861A" w14:textId="77777777" w:rsidR="00C33A41" w:rsidRDefault="007B3952">
      <w:pPr>
        <w:ind w:firstLine="708"/>
      </w:pPr>
      <w:r>
        <w:t xml:space="preserve">Considerando o modelo PPCT, de Bronfenbrenner (1977), esse fator identificado nos adolescentes encontra-se relacionado com o conceito de </w:t>
      </w:r>
      <w:r>
        <w:rPr>
          <w:i/>
        </w:rPr>
        <w:t>Processo</w:t>
      </w:r>
      <w:r>
        <w:t xml:space="preserve">, que se constitui pela dinâmica da relação estabelecida entre eles e o contexto ao qual estavam inseridos, incluindo o cenário de pandemia e a privação de liberdade, concomitantemente. E esse processo, perpassado pelos riscos de contaminação e altos índices de mortalidade, interferiram diretamente na </w:t>
      </w:r>
      <w:r>
        <w:rPr>
          <w:i/>
        </w:rPr>
        <w:t>Pessoa</w:t>
      </w:r>
      <w:r>
        <w:t>, ou seja, nas características individuais dos adolescentes, entre elas a emocional, caracterizado pelo medo constante de perder um membro da família.</w:t>
      </w:r>
    </w:p>
    <w:p w14:paraId="34E78975" w14:textId="77777777" w:rsidR="00C33A41" w:rsidRDefault="007B3952">
      <w:pPr>
        <w:ind w:firstLine="708"/>
      </w:pPr>
      <w:r>
        <w:t xml:space="preserve">Além disso, também é possível considerar o aspecto </w:t>
      </w:r>
      <w:r>
        <w:rPr>
          <w:i/>
        </w:rPr>
        <w:t>Tempo</w:t>
      </w:r>
      <w:r>
        <w:t xml:space="preserve"> no medo de perder familiares durante a pandemia, visto que o tempo “deve focalizar a pessoa em relação aos acontecimentos presentes em sua vida, desde os mais próximos até os mais distantes, como grandes acontecimentos históricos” (</w:t>
      </w:r>
      <w:proofErr w:type="spellStart"/>
      <w:r>
        <w:t>Poletto</w:t>
      </w:r>
      <w:proofErr w:type="spellEnd"/>
      <w:r>
        <w:t xml:space="preserve"> &amp; </w:t>
      </w:r>
      <w:proofErr w:type="spellStart"/>
      <w:r>
        <w:t>Koller</w:t>
      </w:r>
      <w:proofErr w:type="spellEnd"/>
      <w:r>
        <w:t xml:space="preserve">, 2008, p. 408). A pandemia é considerada um evento histórico e que teve uma duração consideravelmente prolongada (cerca de 3 anos), portanto, os adolescentes na medida de internação, além da perda de contato com os familiares, ainda ficaram expostos, durante um tempo considerável, a </w:t>
      </w:r>
      <w:r>
        <w:lastRenderedPageBreak/>
        <w:t>preocupação constante de perder familiares, o que pôde trazer implicações negativas para a saúde mental geral. </w:t>
      </w:r>
    </w:p>
    <w:p w14:paraId="31912AA4" w14:textId="77777777" w:rsidR="00C33A41" w:rsidRDefault="007B3952">
      <w:pPr>
        <w:ind w:firstLine="708"/>
      </w:pPr>
      <w:r>
        <w:t>Além disso, os adolescentes demonstraram mais preocupação com os membros da família do que com eles próprios, visto que não evitavam sair e ficavam expostos, mas receavam ir até os familiares e acabar os contaminando durante visitas. Alguns participantes verbalizaram o quanto esse contexto de receio gerou sofrimento durante o período de privação de liberdade. </w:t>
      </w:r>
    </w:p>
    <w:p w14:paraId="291DA6F4" w14:textId="77777777" w:rsidR="00C33A41" w:rsidRDefault="007B3952">
      <w:pPr>
        <w:spacing w:line="240" w:lineRule="auto"/>
        <w:ind w:left="1440"/>
      </w:pPr>
      <w:r>
        <w:rPr>
          <w:i/>
        </w:rPr>
        <w:t>“Por mim, eu queria ir pra festa, queria sair pros cantos. Ela [a mãe] é um pouco mais velha. Aí eu pensei… e fiquei mais em casa, né? E quando saía na rua, tomava os cuidados pra não contaminar e prejudicar ela.” (Henrique, 19 anos, Natal)</w:t>
      </w:r>
    </w:p>
    <w:p w14:paraId="719A9C27" w14:textId="77777777" w:rsidR="00C33A41" w:rsidRDefault="00C33A41">
      <w:pPr>
        <w:spacing w:line="240" w:lineRule="auto"/>
      </w:pPr>
    </w:p>
    <w:p w14:paraId="5365893D" w14:textId="77777777" w:rsidR="00C33A41" w:rsidRDefault="007B3952">
      <w:pPr>
        <w:spacing w:line="240" w:lineRule="auto"/>
        <w:ind w:left="1440"/>
      </w:pPr>
      <w:r>
        <w:rPr>
          <w:i/>
        </w:rPr>
        <w:t>“[...] andava na rua, saía pra uma praia, cantos públicos. E tinha aquele perigo de pegar. Mas eu só tinha muito medo pela questão da família. Surgiu aquele sentimento de preocupação, né?” (Pedro, 18 anos, Natal)</w:t>
      </w:r>
    </w:p>
    <w:p w14:paraId="794ED9C6" w14:textId="77777777" w:rsidR="00C33A41" w:rsidRDefault="00C33A41">
      <w:pPr>
        <w:spacing w:line="240" w:lineRule="auto"/>
      </w:pPr>
    </w:p>
    <w:p w14:paraId="6105815B" w14:textId="77777777" w:rsidR="00C33A41" w:rsidRDefault="007B3952">
      <w:pPr>
        <w:spacing w:line="240" w:lineRule="auto"/>
        <w:ind w:left="1440"/>
      </w:pPr>
      <w:r>
        <w:rPr>
          <w:i/>
        </w:rPr>
        <w:t>“Foi difícil, mas tirei força de onde não tinha. Segurei, né? Aí eu ficava preso aqui. Mais difícil ainda, né? Foi difícil, foi muito difícil...Porque depois que morre não tem mais como a pessoa fazer nada né? Então, tem que cuidar enquanto tá com a pessoa, mesmo que seja difícil [...]” (Rafael, 17 anos, Porto Nacional)</w:t>
      </w:r>
    </w:p>
    <w:p w14:paraId="2B4066A3" w14:textId="77777777" w:rsidR="00C33A41" w:rsidRDefault="00C33A41">
      <w:pPr>
        <w:spacing w:line="240" w:lineRule="auto"/>
      </w:pPr>
    </w:p>
    <w:p w14:paraId="60AE483D" w14:textId="77777777" w:rsidR="00C33A41" w:rsidRDefault="007B3952">
      <w:pPr>
        <w:spacing w:line="240" w:lineRule="auto"/>
        <w:ind w:left="1440"/>
      </w:pPr>
      <w:r>
        <w:rPr>
          <w:i/>
        </w:rPr>
        <w:t>“Por mim eu não vejo nada. Só passo dopado do remédio. Laranjão [medicamento], 175 mg. O cara dopado aqui o cara esquece tudo. O cara não lembra de nada. Só quer dormir.” (Francisco, 17 anos, Santa Maria)</w:t>
      </w:r>
    </w:p>
    <w:p w14:paraId="191641E0" w14:textId="77777777" w:rsidR="00C33A41" w:rsidRDefault="00C33A41">
      <w:pPr>
        <w:spacing w:line="240" w:lineRule="auto"/>
      </w:pPr>
    </w:p>
    <w:p w14:paraId="05E9EF91" w14:textId="77777777" w:rsidR="00C33A41" w:rsidRDefault="00C33A41">
      <w:pPr>
        <w:ind w:firstLine="708"/>
      </w:pPr>
    </w:p>
    <w:p w14:paraId="7A984233" w14:textId="77777777" w:rsidR="00C33A41" w:rsidRDefault="007B3952">
      <w:pPr>
        <w:ind w:firstLine="708"/>
      </w:pPr>
      <w:r>
        <w:t>Os relatos indicaram o quanto a disseminação inicial das notícias de que pessoas mais velhas seriam mais afetadas pelo vírus reverberaram nas preocupações dos adolescentes. Inclusive, sendo possível observar, como já citado, que a apreensão pela contaminação, muitas vezes, não estava voltada para eles mesmos, visto que verbalizam que continuavam saindo e se expondo, receando apenas a contaminação dos familiares. </w:t>
      </w:r>
    </w:p>
    <w:p w14:paraId="3E308508" w14:textId="77777777" w:rsidR="00C33A41" w:rsidRDefault="007B3952">
      <w:pPr>
        <w:ind w:firstLine="708"/>
      </w:pPr>
      <w:r>
        <w:t xml:space="preserve">Com relação às expressões de sofrimento mental ocasionado pelo medo, retoma-se também o quanto, no início da pandemia, se identificava uma atenção maior nos </w:t>
      </w:r>
      <w:r>
        <w:lastRenderedPageBreak/>
        <w:t>cuidados alusivos à saúde mental da população juvenil, o que que resultou em recomendações da própria OMS sobre como manter o bem-estar emocional durante esse período (ONU, 2020b). Entretanto, é preciso questionar o quanto esses cuidados foram voltados apenas para uma parte dos adolescentes, desconsiderando grupos marginalizados e, frequentemente, invisibilizados socialmente, como os adolescentes que se encontram em privação de liberdade. </w:t>
      </w:r>
    </w:p>
    <w:p w14:paraId="666C49F6" w14:textId="77777777" w:rsidR="00C33A41" w:rsidRDefault="007B3952">
      <w:pPr>
        <w:ind w:firstLine="708"/>
      </w:pPr>
      <w:r>
        <w:t xml:space="preserve">Essa ausência de cuidado dos estressores de saúde mental, associados a outros aspectos do cotidiano de privação de liberdade durante a pandemia, remete novamente ao conceito de </w:t>
      </w:r>
      <w:r>
        <w:rPr>
          <w:i/>
        </w:rPr>
        <w:t>Processos</w:t>
      </w:r>
      <w:r>
        <w:t xml:space="preserve">, da TBDH. De acordo com Morais e </w:t>
      </w:r>
      <w:proofErr w:type="spellStart"/>
      <w:r>
        <w:t>Koller</w:t>
      </w:r>
      <w:proofErr w:type="spellEnd"/>
      <w:r>
        <w:t xml:space="preserve"> (2004), estes processos proximais podem promover dois efeitos no desenvolvimento: 1) de competências (conhecimentos, habilidades, capacidade de controle do próprio comportamento); ou 2) de disfunção (dificuldade em manter o controle e a integração dos comportamentos). Como observado, especificamente na última fala transcrita acima (Participante 20), os processos resultantes da privação de liberdade, associado a preocupações familiares com a pandemia, podem ter resultado em disfunções. </w:t>
      </w:r>
    </w:p>
    <w:p w14:paraId="635E5C33" w14:textId="77777777" w:rsidR="00C33A41" w:rsidRDefault="007B3952">
      <w:pPr>
        <w:ind w:firstLine="708"/>
      </w:pPr>
      <w:r>
        <w:t xml:space="preserve">E, para agravar a situação, observou-se que o sistema socioeducativo, em alguns casos, interveio por meio de medicações psiquiátricas para controle de supostos quadros sindrômicos nos adolescentes, sem trabalhar efetivamente as causas do sofrimento psíquico (como mencionado pelo Participante 20). Outros estudos já buscaram analisar o uso de medicações psiquiátricas de adolescentes na internação, como a pesquisa de Costa e Silva (2017), que fez um levantamento em unidades do Rio Grande do Sul e Minas Gerais, e verificaram a alta prevalência de uso de psicotrópicos prescritos dentro do período de cumprimento de medidas. Em uma das unidades, inclusive, as autoras identificaram que entre os 60 adolescentes internos, apenas 1 não fazia uso de medicação durante a privação de liberdade. </w:t>
      </w:r>
    </w:p>
    <w:p w14:paraId="3603F7B4" w14:textId="77777777" w:rsidR="00C33A41" w:rsidRDefault="007B3952">
      <w:pPr>
        <w:ind w:firstLine="708"/>
      </w:pPr>
      <w:r>
        <w:lastRenderedPageBreak/>
        <w:t xml:space="preserve">Oliveira (2018) pontua o quanto esse fator pode se tornar um entrave entre ações de cuidado e ações patologizantes de saúde mental desses adolescentes, aumentando a lógica excludente e de individualização de condutas que já permeiam o cotidiano deles. Além disso, não abordam como os rompimentos relacionais causados pela privação de liberdade, </w:t>
      </w:r>
      <w:proofErr w:type="spellStart"/>
      <w:r>
        <w:t>exarcebadas</w:t>
      </w:r>
      <w:proofErr w:type="spellEnd"/>
      <w:r>
        <w:t xml:space="preserve"> pela pandemia, não são problemas individuais desses adolescentes, mas uma falha das instituições em garantir esse direito básico, contribuindo para acentuação do sofrimento mental dentro da internação.</w:t>
      </w:r>
    </w:p>
    <w:p w14:paraId="514292CD" w14:textId="77777777" w:rsidR="00C33A41" w:rsidRDefault="00C33A41">
      <w:pPr>
        <w:rPr>
          <w:color w:val="FF0000"/>
        </w:rPr>
      </w:pPr>
      <w:bookmarkStart w:id="41" w:name="_heading=h.jtyddpyp7of0" w:colFirst="0" w:colLast="0"/>
      <w:bookmarkEnd w:id="41"/>
    </w:p>
    <w:p w14:paraId="02069738" w14:textId="77777777" w:rsidR="00C33A41" w:rsidRDefault="007B3952">
      <w:pPr>
        <w:pStyle w:val="Ttulo2"/>
      </w:pPr>
      <w:bookmarkStart w:id="42" w:name="_heading=h.2zbgiuw" w:colFirst="0" w:colLast="0"/>
      <w:bookmarkEnd w:id="42"/>
      <w:r>
        <w:t>2.2</w:t>
      </w:r>
      <w:r>
        <w:rPr>
          <w:sz w:val="14"/>
          <w:szCs w:val="14"/>
        </w:rPr>
        <w:t xml:space="preserve">     </w:t>
      </w:r>
      <w:r>
        <w:t>Temática 2: A presença de vínculos institucionais: o papel dos profissionais da internação no cotidiano dos adolescentes durante a pandemia</w:t>
      </w:r>
    </w:p>
    <w:p w14:paraId="51E40387" w14:textId="77777777" w:rsidR="00C33A41" w:rsidRDefault="007B3952">
      <w:pPr>
        <w:ind w:firstLine="720"/>
      </w:pPr>
      <w:r>
        <w:t>Esta segunda temática abordou a identificação da presença de uma forma de vinculação entre os adolescentes em privação de liberdade e os profissionais das unidades de internação, contrariando, mais uma vez, a perspectiva de rupturas relacionais durante a pandemia. Os adolescentes relataram que, durante o isolamento social e com a suspensão das visitas, os profissionais da socioeducação, especialmente os agentes de segurança, acabaram sendo pessoas com as quais o contato e trocas sociais aumentaram. Entretanto, a partir da análise dos dados, questiona-se o quanto esses vínculos foram autênticos e demonstram, de fato, uma forma de relação social positiva ou o quanto a configuração pandêmica da internação compeliu vinculações frágeis apenas por uma ausência de alternativas relacionais e sociais.</w:t>
      </w:r>
    </w:p>
    <w:p w14:paraId="33683720" w14:textId="77777777" w:rsidR="00C33A41" w:rsidRDefault="00C33A41">
      <w:pPr>
        <w:spacing w:line="276" w:lineRule="auto"/>
      </w:pPr>
    </w:p>
    <w:p w14:paraId="40179261" w14:textId="63FF5DD2" w:rsidR="00C33A41" w:rsidRDefault="007B3952">
      <w:pPr>
        <w:pStyle w:val="Ttulo3"/>
        <w:rPr>
          <w:i w:val="0"/>
        </w:rPr>
      </w:pPr>
      <w:bookmarkStart w:id="43" w:name="_heading=h.1egqt2p" w:colFirst="0" w:colLast="0"/>
      <w:bookmarkEnd w:id="43"/>
      <w:proofErr w:type="gramStart"/>
      <w:r>
        <w:t xml:space="preserve">2.2.1 </w:t>
      </w:r>
      <w:r>
        <w:rPr>
          <w:sz w:val="14"/>
          <w:szCs w:val="14"/>
        </w:rPr>
        <w:t xml:space="preserve"> </w:t>
      </w:r>
      <w:r w:rsidR="009518C7">
        <w:t>Configuração</w:t>
      </w:r>
      <w:proofErr w:type="gramEnd"/>
      <w:r w:rsidR="009518C7">
        <w:t xml:space="preserve"> dos v</w:t>
      </w:r>
      <w:r>
        <w:t>ínculos com profissionais</w:t>
      </w:r>
      <w:r w:rsidR="009518C7">
        <w:t xml:space="preserve"> da segurança</w:t>
      </w:r>
      <w:r>
        <w:t xml:space="preserve"> atuantes nas medidas</w:t>
      </w:r>
      <w:r w:rsidR="009518C7">
        <w:t xml:space="preserve"> </w:t>
      </w:r>
      <w:r>
        <w:t>socioeducativas de internação</w:t>
      </w:r>
    </w:p>
    <w:p w14:paraId="63575F37" w14:textId="77777777" w:rsidR="00C33A41" w:rsidRDefault="007B3952">
      <w:pPr>
        <w:spacing w:before="240"/>
        <w:ind w:firstLine="720"/>
      </w:pPr>
      <w:r>
        <w:t xml:space="preserve">O primeiro subtema se referiu aos dados apresentados pelos adolescentes sobre a presença de vínculos construídos com os profissionais dentro das unidades de internação. </w:t>
      </w:r>
      <w:r>
        <w:lastRenderedPageBreak/>
        <w:t xml:space="preserve">Verificou-se que, a maior parte destes vínculos, foram com os agentes de segurança ou monitores, pois ficavam mais próximos das celas e espaços que os adolescentes passavam mais tempo. Relacionado a esse contato com os profissionais ter aumentado durante a pandemia, os adolescentes indicaram fatores como conversar, principalmente sobre religião, e brincadeiras como sendo as principais atividades derivadas dessa vinculação. </w:t>
      </w:r>
    </w:p>
    <w:p w14:paraId="29ECA1DD" w14:textId="77777777" w:rsidR="00C33A41" w:rsidRDefault="007B3952">
      <w:pPr>
        <w:spacing w:line="240" w:lineRule="auto"/>
        <w:ind w:left="1440"/>
        <w:rPr>
          <w:i/>
        </w:rPr>
      </w:pPr>
      <w:r>
        <w:rPr>
          <w:i/>
        </w:rPr>
        <w:t>“Porque não precisava se preocupar com nada, os monitores ficavam mais tranquilos, podiam conversar com a gente, normal. Podiam conversar com a gente pela portinhola.” (Diego, 17 anos, Santa Maria)</w:t>
      </w:r>
    </w:p>
    <w:p w14:paraId="760A6FCD" w14:textId="77777777" w:rsidR="00C33A41" w:rsidRDefault="007B3952">
      <w:pPr>
        <w:spacing w:line="240" w:lineRule="auto"/>
        <w:ind w:left="1440"/>
        <w:rPr>
          <w:i/>
        </w:rPr>
      </w:pPr>
      <w:r>
        <w:rPr>
          <w:i/>
        </w:rPr>
        <w:t>“Tem um monitor aí que faz igreja pra nós. Falei pra ele: e aí seu, hoje eu peço, mas não peço oração pra mim, mas peço pra mim também, mas peço que o senhor faça uma oração fortíssima para o Enrique que tomou os tiros.” (Miguel, 17 anos, Santa Maria)</w:t>
      </w:r>
    </w:p>
    <w:p w14:paraId="0970077C" w14:textId="77777777" w:rsidR="00C33A41" w:rsidRDefault="007B3952">
      <w:pPr>
        <w:spacing w:line="240" w:lineRule="auto"/>
        <w:ind w:left="1440"/>
        <w:rPr>
          <w:i/>
        </w:rPr>
      </w:pPr>
      <w:r>
        <w:rPr>
          <w:i/>
        </w:rPr>
        <w:t xml:space="preserve">“Eles [agentes] conversam tudo de boa. Tranquilo. Brinca. Mas tem que saber os limites certo, né?” (Samuel, 17 anos, </w:t>
      </w:r>
      <w:r>
        <w:rPr>
          <w:i/>
          <w:sz w:val="22"/>
          <w:szCs w:val="22"/>
        </w:rPr>
        <w:t>São Paulo</w:t>
      </w:r>
      <w:r>
        <w:rPr>
          <w:i/>
        </w:rPr>
        <w:t>)</w:t>
      </w:r>
    </w:p>
    <w:p w14:paraId="29DBC4D7" w14:textId="77777777" w:rsidR="00C33A41" w:rsidRDefault="007B3952">
      <w:pPr>
        <w:spacing w:line="240" w:lineRule="auto"/>
        <w:ind w:left="1440"/>
        <w:rPr>
          <w:i/>
        </w:rPr>
      </w:pPr>
      <w:r>
        <w:rPr>
          <w:i/>
        </w:rPr>
        <w:t>“[...] tinha um agente que era crente, ele tocava violão, orava” (Raul, 18 anos, Santa Maria)</w:t>
      </w:r>
    </w:p>
    <w:p w14:paraId="6F1B26B2" w14:textId="77777777" w:rsidR="00C33A41" w:rsidRDefault="007B3952">
      <w:pPr>
        <w:spacing w:line="240" w:lineRule="auto"/>
        <w:ind w:left="1440"/>
        <w:rPr>
          <w:i/>
        </w:rPr>
      </w:pPr>
      <w:r>
        <w:rPr>
          <w:i/>
        </w:rPr>
        <w:t>“[...] Jogar xadrez, aprendi sozinho mesmo, mas agora quem me ensina é o senhor Peixe. Ele é monitor aqui. O bicho é uma praga. Mestre no xadrez”. (Francisco, 17 anos, Santa Maria)</w:t>
      </w:r>
    </w:p>
    <w:p w14:paraId="7FA87C83" w14:textId="77777777" w:rsidR="00C33A41" w:rsidRDefault="00C33A41">
      <w:pPr>
        <w:spacing w:line="240" w:lineRule="auto"/>
        <w:ind w:left="1440"/>
        <w:rPr>
          <w:i/>
          <w:sz w:val="22"/>
          <w:szCs w:val="22"/>
        </w:rPr>
      </w:pPr>
    </w:p>
    <w:p w14:paraId="7DBDA58C" w14:textId="77777777" w:rsidR="00C33A41" w:rsidRDefault="007B3952">
      <w:pPr>
        <w:ind w:firstLine="720"/>
      </w:pPr>
      <w:r>
        <w:t>Considerando a TBDH, os relacionamentos interpessoais são elementos essenciais para a possibilidade de desenvolvimento dos processos proximais ao longo da vida (Bronfenbrenner &amp; Morris, 1998). Portanto, torna-se importante compreender como os vínculos relacionais se estabelecem, para avaliar sua influência no desenvolvimento e no cotidiano dos adolescentes. Outros estudos já buscaram investigar o estabelecimento de relações interpessoais, especificamente, dos adolescentes dentro do sistema socioeducativo de internação (</w:t>
      </w:r>
      <w:proofErr w:type="spellStart"/>
      <w:r>
        <w:t>Balbinot</w:t>
      </w:r>
      <w:proofErr w:type="spellEnd"/>
      <w:r>
        <w:t xml:space="preserve"> et al., 2022; </w:t>
      </w:r>
      <w:proofErr w:type="spellStart"/>
      <w:r>
        <w:t>Coscioni</w:t>
      </w:r>
      <w:proofErr w:type="spellEnd"/>
      <w:r>
        <w:t xml:space="preserve"> et al., 2018; </w:t>
      </w:r>
      <w:proofErr w:type="spellStart"/>
      <w:r>
        <w:t>Coscioni</w:t>
      </w:r>
      <w:proofErr w:type="spellEnd"/>
      <w:r>
        <w:t xml:space="preserve"> et al., 2020).</w:t>
      </w:r>
    </w:p>
    <w:p w14:paraId="6F84E4B7" w14:textId="77777777" w:rsidR="00C33A41" w:rsidRDefault="007B3952">
      <w:pPr>
        <w:ind w:firstLine="720"/>
      </w:pPr>
      <w:r>
        <w:t xml:space="preserve">O estudo de </w:t>
      </w:r>
      <w:proofErr w:type="spellStart"/>
      <w:r>
        <w:t>Coscioni</w:t>
      </w:r>
      <w:proofErr w:type="spellEnd"/>
      <w:r>
        <w:t xml:space="preserve"> et al. (2018), por exemplo, fez uma caracterização da convivência de adolescentes privados de liberdade com a equipe técnica das unidades, tendo como base para análise os pressupostos da TBDH. Os autores identificaram que aspectos contextuais (como falta de recursos humanos e cobranças do Poder Judiciário), interferiam, de forma negativa, nos relacionamentos entre os adolescentes e os técnicos </w:t>
      </w:r>
      <w:r>
        <w:lastRenderedPageBreak/>
        <w:t>que os atendiam e, consequentemente, nos processos proximais. Ainda assim, verificaram a presença de fatores positivos nas vinculações, como reciprocidade e aprendizagem, que também podem ser promotores de processos proximais de desenvolvimento (</w:t>
      </w:r>
      <w:proofErr w:type="spellStart"/>
      <w:r>
        <w:t>Coscioni</w:t>
      </w:r>
      <w:proofErr w:type="spellEnd"/>
      <w:r>
        <w:t>, et al., 2018).</w:t>
      </w:r>
    </w:p>
    <w:p w14:paraId="5847403B" w14:textId="77777777" w:rsidR="00C33A41" w:rsidRDefault="007B3952">
      <w:pPr>
        <w:ind w:firstLine="720"/>
      </w:pPr>
      <w:r>
        <w:t xml:space="preserve">De acordo com as falas dos participantes transcritas acima, dados similares ao estudo de </w:t>
      </w:r>
      <w:proofErr w:type="spellStart"/>
      <w:r>
        <w:t>Coscioni</w:t>
      </w:r>
      <w:proofErr w:type="spellEnd"/>
      <w:r>
        <w:t xml:space="preserve"> et al. (2018) foram verificados no presente estudo. Os adolescentes indicaram que, durante o período de pandemia, o contato com a equipe tornou-se mais frequente e significativo, considerando um contexto de isolamento social que os privavam de outras relações. Portanto, o rompimento do contato com a família, por exemplo, possibilitou que os vínculos com os agentes de segurança das unidades ficassem em maior evidência. Entretanto, deve-se destacar que, mesmo com os relatos de um aumento na relação interpessoal, alguns adolescentes relataram violências por parte dos agentes de segurança durante o período de pandemia. Um dos participantes, inclusive, descreveu um caso de agressão física, indicando que: “[...] </w:t>
      </w:r>
      <w:r>
        <w:rPr>
          <w:i/>
        </w:rPr>
        <w:t>porque a gente fez um barulho. Ele</w:t>
      </w:r>
      <w:r>
        <w:t xml:space="preserve"> [agente de segurança] </w:t>
      </w:r>
      <w:r>
        <w:rPr>
          <w:i/>
        </w:rPr>
        <w:t>entrou e bateu em todo mundo, e eles sem máscara</w:t>
      </w:r>
      <w:r>
        <w:t xml:space="preserve">”. </w:t>
      </w:r>
    </w:p>
    <w:p w14:paraId="40780C19" w14:textId="77777777" w:rsidR="00C33A41" w:rsidRDefault="007B3952">
      <w:pPr>
        <w:ind w:firstLine="720"/>
      </w:pPr>
      <w:bookmarkStart w:id="44" w:name="_heading=h.gjdgxs" w:colFirst="0" w:colLast="0"/>
      <w:bookmarkEnd w:id="44"/>
      <w:r>
        <w:t>Realidades como essa são frequentes dentro das unidades socioeducativas de privação de liberdade no Brasil. Um exemplo disso é que, no ano de 2022, o Estado de São Paulo e a Fundação Casa foram condenados a pagar indenização por tortura e maus-tratos de adolescentes dentro das unidades (</w:t>
      </w:r>
      <w:proofErr w:type="spellStart"/>
      <w:r>
        <w:t>Acayaba</w:t>
      </w:r>
      <w:proofErr w:type="spellEnd"/>
      <w:r>
        <w:t xml:space="preserve">, 2022). O estudo de </w:t>
      </w:r>
      <w:proofErr w:type="spellStart"/>
      <w:r>
        <w:t>Coscioni</w:t>
      </w:r>
      <w:proofErr w:type="spellEnd"/>
      <w:r>
        <w:t xml:space="preserve"> et al. (2020) também identificou que adolescentes de diferentes estados descreveram a relação com os funcionários das medidas de internação como hostis e distantes. Isso acaba fazendo com que a medida socioeducativa de privação de liberdade se torne pouco efetiva na promoção de desenvolvimento, além de gerar sofrimento na vida dos adolescentes (</w:t>
      </w:r>
      <w:proofErr w:type="spellStart"/>
      <w:r>
        <w:t>Coscioni</w:t>
      </w:r>
      <w:proofErr w:type="spellEnd"/>
      <w:r>
        <w:t xml:space="preserve"> et al., 2020).</w:t>
      </w:r>
    </w:p>
    <w:p w14:paraId="5874EDCD" w14:textId="4007D1BC" w:rsidR="00C33A41" w:rsidRDefault="007B3952">
      <w:pPr>
        <w:ind w:firstLine="720"/>
      </w:pPr>
      <w:r>
        <w:lastRenderedPageBreak/>
        <w:t xml:space="preserve">Portanto, ainda que os adolescentes relatem que, durante o período de pandemia, as relações com os profissionais tenham ficado mais em evidência, é necessária uma reflexão crítica sobre como isso se deu. Além disso, como já citado anteriormente e reforçado no subtema a seguir, é preciso considerar o quanto essa proximidade com a equipe não aconteceu de forma </w:t>
      </w:r>
      <w:r w:rsidR="00C0091A">
        <w:t>autêntica</w:t>
      </w:r>
      <w:r>
        <w:t>, mas sim devido ao rompimento causado pela pandemia de outras formas de vinculações e práticas dentro das unidades.</w:t>
      </w:r>
    </w:p>
    <w:p w14:paraId="18D3BFB2" w14:textId="77777777" w:rsidR="00C33A41" w:rsidRDefault="00C33A41">
      <w:pPr>
        <w:rPr>
          <w:b/>
          <w:i/>
        </w:rPr>
      </w:pPr>
    </w:p>
    <w:p w14:paraId="0E6DCA90" w14:textId="77777777" w:rsidR="00C33A41" w:rsidRDefault="007B3952">
      <w:pPr>
        <w:pStyle w:val="Ttulo3"/>
        <w:rPr>
          <w:i w:val="0"/>
        </w:rPr>
      </w:pPr>
      <w:bookmarkStart w:id="45" w:name="_heading=h.3ygebqi" w:colFirst="0" w:colLast="0"/>
      <w:bookmarkEnd w:id="45"/>
      <w:r>
        <w:t>2.2.2</w:t>
      </w:r>
      <w:r>
        <w:rPr>
          <w:sz w:val="14"/>
          <w:szCs w:val="14"/>
        </w:rPr>
        <w:t xml:space="preserve">        </w:t>
      </w:r>
      <w:r>
        <w:t>Construção de vínculos associados a uma ociosidade de práticas institucionais</w:t>
      </w:r>
    </w:p>
    <w:p w14:paraId="2500A0F3" w14:textId="77777777" w:rsidR="00C33A41" w:rsidRDefault="007B3952">
      <w:pPr>
        <w:ind w:firstLine="720"/>
      </w:pPr>
      <w:r>
        <w:t xml:space="preserve">Neste segundo subtema, desenvolveu-se uma análise crítica sobre os vínculos estabelecidos com os profissionais durante o período de pandemia. De acordo com os relatos dos adolescentes, durante a pandemia a instituição teve uma ausência de atividades, como interrupção de aulas, cursos e projetos. Diante disso, questiona-se o quanto o surgimento desses vínculos com os agentes de segurança poderia ser resultado mais de uma falta de opção de ações, da impossibilidade de manutenção do contato com outras pessoas e de uma ociosidade que os adolescentes tiveram e que, uma forma de suprir o tempo, foi se aproximar das únicas pessoas das quais eles conseguiam ter contato. </w:t>
      </w:r>
    </w:p>
    <w:p w14:paraId="242B4B51" w14:textId="77777777" w:rsidR="00C33A41" w:rsidRDefault="007B3952">
      <w:pPr>
        <w:spacing w:line="240" w:lineRule="auto"/>
        <w:ind w:left="1440"/>
        <w:rPr>
          <w:i/>
          <w:sz w:val="22"/>
          <w:szCs w:val="22"/>
        </w:rPr>
      </w:pPr>
      <w:r>
        <w:rPr>
          <w:i/>
          <w:sz w:val="22"/>
          <w:szCs w:val="22"/>
        </w:rPr>
        <w:t>“Que às vezes a gente está ali sem nada para fazer e o monitor está ali parado, aí a gente conversa com ele, troca uma ideia com o monitor. Na pandemia isso não podia muito, mas eles estavam de máscara e de longe” (</w:t>
      </w:r>
      <w:r>
        <w:rPr>
          <w:i/>
        </w:rPr>
        <w:t>Diego, 17 anos, Santa Maria</w:t>
      </w:r>
      <w:r>
        <w:rPr>
          <w:i/>
          <w:sz w:val="22"/>
          <w:szCs w:val="22"/>
        </w:rPr>
        <w:t>)</w:t>
      </w:r>
    </w:p>
    <w:p w14:paraId="2BF52F61" w14:textId="77777777" w:rsidR="00C33A41" w:rsidRDefault="007B3952">
      <w:pPr>
        <w:spacing w:line="240" w:lineRule="auto"/>
        <w:ind w:left="1440"/>
        <w:rPr>
          <w:i/>
          <w:sz w:val="22"/>
          <w:szCs w:val="22"/>
        </w:rPr>
      </w:pPr>
      <w:r>
        <w:rPr>
          <w:i/>
          <w:sz w:val="22"/>
          <w:szCs w:val="22"/>
        </w:rPr>
        <w:t>“Na real ficava jogando carta ali com as donas [profissionais da instituição] pra passa tempo, sei lá. Mas na real ninguém ajuda ninguém, só faz o serviço deles” (Lucas, 19 anos, Porto Alegre)</w:t>
      </w:r>
    </w:p>
    <w:p w14:paraId="7827649E" w14:textId="77777777" w:rsidR="00C33A41" w:rsidRDefault="007B3952">
      <w:pPr>
        <w:spacing w:line="240" w:lineRule="auto"/>
        <w:ind w:left="1440"/>
        <w:rPr>
          <w:i/>
          <w:sz w:val="22"/>
          <w:szCs w:val="22"/>
        </w:rPr>
      </w:pPr>
      <w:r>
        <w:rPr>
          <w:i/>
          <w:sz w:val="22"/>
          <w:szCs w:val="22"/>
        </w:rPr>
        <w:t>“[...] assim a gente conversa com todo mundo, mas não é aquele vínculo assim, tipo irmão” (Antônio, 17 anos, São Paulo)</w:t>
      </w:r>
    </w:p>
    <w:p w14:paraId="1A4BED13" w14:textId="77777777" w:rsidR="00C33A41" w:rsidRDefault="00C33A41"/>
    <w:p w14:paraId="6DD2A620" w14:textId="77777777" w:rsidR="00C33A41" w:rsidRDefault="007B3952">
      <w:pPr>
        <w:ind w:firstLine="720"/>
      </w:pPr>
      <w:r>
        <w:t xml:space="preserve">Como observado nas falas, os adolescentes pontuaram que, em alguns momentos durante a pandemia, as trocas com os profissionais eram devido ao fato de não estarem realizando nenhuma outra atividade e estarem ociosos. Inclusive, na fala de Lucas ficou evidente que o próprio adolescente, apesar de indicar que interagia com pessoas da </w:t>
      </w:r>
      <w:r>
        <w:lastRenderedPageBreak/>
        <w:t xml:space="preserve">equipe, tinha consciência que a relação não era uma forma genuína de auxílio e vínculo, mas apenas a realização do trabalho da equipe. </w:t>
      </w:r>
    </w:p>
    <w:p w14:paraId="453C0A9E" w14:textId="77777777" w:rsidR="00C33A41" w:rsidRDefault="007B3952">
      <w:pPr>
        <w:ind w:firstLine="720"/>
      </w:pPr>
      <w:r>
        <w:t>O Poder Judiciário não foi capaz de seguir as recomendações do Conselho Nacional de Justiça e garantir a continuidade adequada das ações dentro das unidades de internação. Isso fez com que diversas atividades do cotidiano dos adolescentes fossem paralisadas durante a pandemia, entre elas a educação formal, o ensino profissionalizante, atendimentos psicossociais, visitas familiares, entre outros (</w:t>
      </w:r>
      <w:proofErr w:type="spellStart"/>
      <w:r>
        <w:t>Schwan</w:t>
      </w:r>
      <w:proofErr w:type="spellEnd"/>
      <w:r>
        <w:t xml:space="preserve"> &amp; Secco, 2021). Portanto, questiona-se qual a ocupação que esses adolescentes tiveram durante o dia, visto que essas atividades estavam suspensas, e o quanto essa falta de alternativas fez com que o relacionamento com a equipe e os agentes se tornassem a única alternativa dentro das instituições.</w:t>
      </w:r>
    </w:p>
    <w:p w14:paraId="2B7025F1" w14:textId="77777777" w:rsidR="00C33A41" w:rsidRDefault="007B3952">
      <w:pPr>
        <w:ind w:firstLine="720"/>
      </w:pPr>
      <w:r>
        <w:t>Considerando esse viés e refletindo sobre os pressupostos da TBDH, é preciso questionar se, mesmo na presença de relações interpessoais, os adolescentes tiveram a possibilidade de desenvolver processos proximais. Inclusive, o próprio SINASE (Brasil, 2006) pontua que a socioeducação começa entre os funcionários, que devem assumir um exemplo positivo, pois podem provocar processos de mudanças. Entretanto, é preciso refletir sobre como isso pode ocorrer se os próprios adolescentes não percebem a relação com os profissionais como potencialmente afetiva, mas apenas como opção para passar o tempo durante o isolamento ou somente como um cumprimento de trabalho deles.</w:t>
      </w:r>
    </w:p>
    <w:p w14:paraId="086C6087" w14:textId="77777777" w:rsidR="00C33A41" w:rsidRDefault="007B3952">
      <w:pPr>
        <w:ind w:firstLine="720"/>
      </w:pPr>
      <w:r>
        <w:t xml:space="preserve">Ao refletir acerca da promoção de processos proximais, é possível afirmar a impossibilidade do desenvolvimento nesse contexto encontrado entre os adolescentes e os profissionais durante a pandemia. Bronfenbrenner e Morris (1998) postularam que estes processos decorrem de interações recíprocas e progressivamente mais complexas e, considerando os dados da presente pesquisa, o vínculo com a equipe não apresentou tais características durante o período pandêmico. Além disso, também é possível analisar o </w:t>
      </w:r>
      <w:r>
        <w:lastRenderedPageBreak/>
        <w:t xml:space="preserve">conceito de </w:t>
      </w:r>
      <w:r>
        <w:rPr>
          <w:i/>
        </w:rPr>
        <w:t xml:space="preserve">Tempo </w:t>
      </w:r>
      <w:r>
        <w:t>(Bronfenbrenner, 2011), ao considerar, por exemplo, a frequência e extensão com que as interrelações cotidianas acontecem (</w:t>
      </w:r>
      <w:proofErr w:type="spellStart"/>
      <w:r>
        <w:rPr>
          <w:i/>
        </w:rPr>
        <w:t>mesotempo</w:t>
      </w:r>
      <w:proofErr w:type="spellEnd"/>
      <w:r>
        <w:t xml:space="preserve">). Neste caso, as trocas relacionais com os profissionais, segundo relatos, ocorriam sem que tivesse uma regularidade durante a pandemia. O contato acontecia sem previsão ou perspectiva de duração considerável, nos momentos em que os adolescentes estavam ociosos nas unidades devido à pandemia (considerada aqui mais um fator temporal ao se configurar como um acontecimento histórico, portanto, no </w:t>
      </w:r>
      <w:proofErr w:type="spellStart"/>
      <w:r>
        <w:rPr>
          <w:i/>
        </w:rPr>
        <w:t>macrotempo</w:t>
      </w:r>
      <w:proofErr w:type="spellEnd"/>
      <w:r>
        <w:t>).</w:t>
      </w:r>
    </w:p>
    <w:p w14:paraId="40BFC394" w14:textId="72D9B12B" w:rsidR="00C33A41" w:rsidRDefault="007B3952">
      <w:pPr>
        <w:ind w:firstLine="720"/>
      </w:pPr>
      <w:r>
        <w:t xml:space="preserve">Por fim, como pontuado no estudo de </w:t>
      </w:r>
      <w:proofErr w:type="spellStart"/>
      <w:r>
        <w:t>Coscioni</w:t>
      </w:r>
      <w:proofErr w:type="spellEnd"/>
      <w:r>
        <w:t xml:space="preserve"> et al. (2018), o próprio contexto pode não favorecer aspectos importantes para o estabelecimento de </w:t>
      </w:r>
      <w:r>
        <w:rPr>
          <w:i/>
        </w:rPr>
        <w:t>Processos Proximais</w:t>
      </w:r>
      <w:r>
        <w:t>. Aspectos do exossistema, como práticas dos órgãos judiciais ou falta de investimentos e infraestrutura, podem dificultar o desenvolvimento dos adolescentes em internação. Isso ocorre porque esses fatores exossistêmicos refletem no trabalho dos profissionais que estão dentro das instituições e, consequentemente, influenciam a forma com que eles estabelecem relações com os adolescentes na execução do seu trabalho</w:t>
      </w:r>
      <w:r w:rsidRPr="002C51BE">
        <w:t>.</w:t>
      </w:r>
      <w:r w:rsidR="00000A83" w:rsidRPr="002C51BE">
        <w:t xml:space="preserve"> Além disso, é preciso considerar que esses profissionais também estavam sendo afetados pelo contexto pandêmico e os riscos desencadeados por ela. Portanto, o objetivo não é gerar culpabilizações, mas avaliar os diversos impactos da pandemia nas pessoas e nas relações disponíveis no cotidiano dos adolescentes privados de liberdade. </w:t>
      </w:r>
    </w:p>
    <w:p w14:paraId="17BEE8DF" w14:textId="77777777" w:rsidR="00C33A41" w:rsidRDefault="007B3952">
      <w:pPr>
        <w:rPr>
          <w:b/>
        </w:rPr>
      </w:pPr>
      <w:r>
        <w:rPr>
          <w:b/>
        </w:rPr>
        <w:t xml:space="preserve"> </w:t>
      </w:r>
    </w:p>
    <w:p w14:paraId="11F88044" w14:textId="77777777" w:rsidR="00C33A41" w:rsidRDefault="007B3952">
      <w:pPr>
        <w:pStyle w:val="Ttulo2"/>
      </w:pPr>
      <w:bookmarkStart w:id="46" w:name="_heading=h.2dlolyb" w:colFirst="0" w:colLast="0"/>
      <w:bookmarkEnd w:id="46"/>
      <w:r>
        <w:t>2.3</w:t>
      </w:r>
      <w:r>
        <w:rPr>
          <w:sz w:val="14"/>
          <w:szCs w:val="14"/>
        </w:rPr>
        <w:t xml:space="preserve">      </w:t>
      </w:r>
      <w:r>
        <w:t>Temática 3: A (</w:t>
      </w:r>
      <w:proofErr w:type="spellStart"/>
      <w:r>
        <w:t>des</w:t>
      </w:r>
      <w:proofErr w:type="spellEnd"/>
      <w:r>
        <w:t>)construção do processo educacional de adolescentes privados de liberdade no contexto pandêmico</w:t>
      </w:r>
    </w:p>
    <w:p w14:paraId="055D6E99" w14:textId="77777777" w:rsidR="00C33A41" w:rsidRDefault="007B3952">
      <w:pPr>
        <w:spacing w:before="240"/>
        <w:ind w:firstLine="720"/>
      </w:pPr>
      <w:r>
        <w:t xml:space="preserve">Por fim, a terceira temática deste estudo discorre sobre como foi estabelecido o processo de escolarização dos adolescentes que se encontravam privados de liberdade durante a pandemia. De acordo com os dados, o contexto educacional apresentou diversas fragilidades para sua manutenção com os desdobramentos da pandemia, ocasionando, não </w:t>
      </w:r>
      <w:r>
        <w:lastRenderedPageBreak/>
        <w:t xml:space="preserve">apenas momentos de rompimentos, mas também reflexos no desenvolvimento futuro dos adolescentes. Identificou-se, especialmente: (i) que já existiam rupturas desta população com os espaços escolares antes mesmo da pandemia; (ii) as alternativas educacionais propostas durante a pandemia foram inadequadas à realidade dos adolescentes; (iii) as defasagens educacionais decorrentes da pandemia acentuaram os riscos vividos e as perspectivas futuras dos adolescentes. </w:t>
      </w:r>
    </w:p>
    <w:p w14:paraId="6C689867" w14:textId="77777777" w:rsidR="00C33A41" w:rsidRDefault="00C33A41">
      <w:pPr>
        <w:ind w:firstLine="720"/>
      </w:pPr>
    </w:p>
    <w:p w14:paraId="03ABA9CC" w14:textId="77777777" w:rsidR="00C33A41" w:rsidRDefault="007B3952">
      <w:pPr>
        <w:pStyle w:val="Ttulo3"/>
        <w:rPr>
          <w:i w:val="0"/>
        </w:rPr>
      </w:pPr>
      <w:bookmarkStart w:id="47" w:name="_heading=h.sqyw64" w:colFirst="0" w:colLast="0"/>
      <w:bookmarkEnd w:id="47"/>
      <w:proofErr w:type="gramStart"/>
      <w:r>
        <w:t xml:space="preserve">2.3.1 </w:t>
      </w:r>
      <w:r>
        <w:rPr>
          <w:sz w:val="14"/>
          <w:szCs w:val="14"/>
        </w:rPr>
        <w:t xml:space="preserve"> </w:t>
      </w:r>
      <w:r>
        <w:t>Rupturas</w:t>
      </w:r>
      <w:proofErr w:type="gramEnd"/>
      <w:r>
        <w:t xml:space="preserve"> dos adolescentes com os espaços escolares no período pré-pandemia</w:t>
      </w:r>
    </w:p>
    <w:p w14:paraId="6B9DACAE" w14:textId="77777777" w:rsidR="00C33A41" w:rsidRDefault="007B3952">
      <w:pPr>
        <w:spacing w:before="240"/>
        <w:ind w:firstLine="720"/>
      </w:pPr>
      <w:r>
        <w:t>Este primeiro subtema aborda os relatos dos adolescentes sobre o afastamento do ambiente escolar antes mesmo da pandemia do Covid-19. Muitos dos participantes indicaram já não estarem frequentando a escola antes da medida de internação e da pandemia. Inclusive, verificou-se que a entrada no sistema de medida de internação foi o que reinseriu os adolescentes ao sistema educacional. Portanto, notou-se que a ruptura social com o espaço escolar não foi uma consequência do período pandêmico, mas configura-se como uma condição pré-existente na maioria dos adolescentes em privação de liberdade.</w:t>
      </w:r>
    </w:p>
    <w:p w14:paraId="1AF68A8C" w14:textId="77777777" w:rsidR="00C33A41" w:rsidRDefault="007B3952">
      <w:pPr>
        <w:spacing w:line="240" w:lineRule="auto"/>
        <w:ind w:left="1440"/>
        <w:rPr>
          <w:i/>
          <w:sz w:val="22"/>
          <w:szCs w:val="22"/>
        </w:rPr>
      </w:pPr>
      <w:r>
        <w:rPr>
          <w:i/>
          <w:sz w:val="22"/>
          <w:szCs w:val="22"/>
        </w:rPr>
        <w:t>“Lá fora [do CASE] eu não estava estudando, mas quando eu vim para cá eu comecei a estudar, foi em 2021, no final de 2021” (</w:t>
      </w:r>
      <w:r>
        <w:rPr>
          <w:i/>
        </w:rPr>
        <w:t>Diego, 17 anos, Santa Maria</w:t>
      </w:r>
      <w:r>
        <w:rPr>
          <w:i/>
          <w:sz w:val="22"/>
          <w:szCs w:val="22"/>
        </w:rPr>
        <w:t>)</w:t>
      </w:r>
    </w:p>
    <w:p w14:paraId="7F2DCF95" w14:textId="77777777" w:rsidR="00C33A41" w:rsidRDefault="007B3952">
      <w:pPr>
        <w:spacing w:line="240" w:lineRule="auto"/>
        <w:ind w:left="1440"/>
        <w:rPr>
          <w:i/>
          <w:sz w:val="22"/>
          <w:szCs w:val="22"/>
        </w:rPr>
      </w:pPr>
      <w:r>
        <w:rPr>
          <w:i/>
          <w:sz w:val="22"/>
          <w:szCs w:val="22"/>
        </w:rPr>
        <w:t>“Eu não estudava não. Vim voltar a estudar aqui dentro. Já estudei quando era pequeno. Parei de estudar com 10 anos. [</w:t>
      </w:r>
      <w:r>
        <w:rPr>
          <w:i/>
          <w:sz w:val="22"/>
          <w:szCs w:val="22"/>
          <w:u w:val="single"/>
        </w:rPr>
        <w:t>Ficou quanto tempo sem estudar?</w:t>
      </w:r>
      <w:r>
        <w:rPr>
          <w:i/>
          <w:sz w:val="22"/>
          <w:szCs w:val="22"/>
        </w:rPr>
        <w:t xml:space="preserve">] Uns 4, 5 anos…” (Felipe, 17 anos, Natal) </w:t>
      </w:r>
    </w:p>
    <w:p w14:paraId="1B818636" w14:textId="77777777" w:rsidR="00C33A41" w:rsidRDefault="007B3952">
      <w:pPr>
        <w:spacing w:line="240" w:lineRule="auto"/>
        <w:ind w:left="1440"/>
        <w:rPr>
          <w:i/>
          <w:sz w:val="22"/>
          <w:szCs w:val="22"/>
        </w:rPr>
      </w:pPr>
      <w:r>
        <w:rPr>
          <w:i/>
          <w:sz w:val="22"/>
          <w:szCs w:val="22"/>
        </w:rPr>
        <w:t xml:space="preserve">“Aqui dentro [CASE] sim [conseguiu dar continuidade às atividades escolares]. Se eu tivesse na rua eu estaria usando droga.” (Miguel, 17 anos, Santa Maria) </w:t>
      </w:r>
    </w:p>
    <w:p w14:paraId="53067B7D" w14:textId="77777777" w:rsidR="00C33A41" w:rsidRDefault="007B3952">
      <w:pPr>
        <w:spacing w:line="240" w:lineRule="auto"/>
        <w:ind w:left="1440"/>
        <w:rPr>
          <w:i/>
          <w:sz w:val="22"/>
          <w:szCs w:val="22"/>
        </w:rPr>
      </w:pPr>
      <w:r>
        <w:rPr>
          <w:i/>
          <w:sz w:val="22"/>
          <w:szCs w:val="22"/>
        </w:rPr>
        <w:t>“Porque eu não tava estudando, não tava ligando para os estudos. Aí eu não…tipo, não atingiu a mim. Eu acho que pra quem estudava, como pros meus irmãos, eu acho que foi uma coisa que protegeu eles [</w:t>
      </w:r>
      <w:r>
        <w:rPr>
          <w:i/>
          <w:sz w:val="22"/>
          <w:szCs w:val="22"/>
          <w:u w:val="single"/>
        </w:rPr>
        <w:t>o fechamento das escolas</w:t>
      </w:r>
      <w:r>
        <w:rPr>
          <w:i/>
          <w:sz w:val="22"/>
          <w:szCs w:val="22"/>
        </w:rPr>
        <w:t>].” (Pedro, 18 anos, Natal)</w:t>
      </w:r>
    </w:p>
    <w:p w14:paraId="3ABC5B41" w14:textId="77777777" w:rsidR="00C33A41" w:rsidRDefault="00C33A41">
      <w:pPr>
        <w:spacing w:line="240" w:lineRule="auto"/>
        <w:ind w:left="1440"/>
        <w:rPr>
          <w:i/>
          <w:sz w:val="22"/>
          <w:szCs w:val="22"/>
        </w:rPr>
      </w:pPr>
    </w:p>
    <w:p w14:paraId="67059537" w14:textId="77777777" w:rsidR="00C33A41" w:rsidRDefault="007B3952">
      <w:pPr>
        <w:ind w:firstLine="720"/>
      </w:pPr>
      <w:bookmarkStart w:id="48" w:name="_heading=h.3cqmetx" w:colFirst="0" w:colLast="0"/>
      <w:bookmarkEnd w:id="48"/>
      <w:r>
        <w:t xml:space="preserve">A literatura tem apontado para o processo de escolarização como um dos mecanismos que possibilitam aos adolescentes envolvidos em atos infracionais se </w:t>
      </w:r>
      <w:r>
        <w:lastRenderedPageBreak/>
        <w:t>afastarem das condutas que possam ser classificadas como contravenção penal. Entretanto, o que se verifica é uma dificuldade em garantir que essa população tenha acesso e permaneça nos espaços educativos (Pessoa &amp; Coimbra, 2016). No processo de socioeducação a escolarização ocupa posição central, como previsto no ECA (Lei n.8.069, 1990) e na própria Lei do SINASE (Lei nº 12.594, 2012) e, conhecendo os rompimentos frequentes, as instituições devem garantir que os adolescentes regressem, permaneçam e tenham sucesso no ensino formal durante a aplicação da MSE.</w:t>
      </w:r>
    </w:p>
    <w:p w14:paraId="5C3A5F8E" w14:textId="77777777" w:rsidR="00C33A41" w:rsidRDefault="007B3952">
      <w:pPr>
        <w:ind w:firstLine="720"/>
      </w:pPr>
      <w:r>
        <w:t xml:space="preserve">Entretanto, como mostram os dados, mesmo com as políticas públicas e legislações vigentes, o que se observa é o frequente afastamento dos adolescentes que cometam atos infracionais dos ambientes escolares antes do envolvimento mais crônico em atos ilícitos (Pessoa &amp; Coimbra, 2020). Portanto, o que se tem é um problema de ordem social mais amplo. Considerando a TBDH, os problemas de acesso à educação de uma parcela dos jovens brasileiros podem estar relacionados com o </w:t>
      </w:r>
      <w:r>
        <w:rPr>
          <w:i/>
        </w:rPr>
        <w:t>macrossistema</w:t>
      </w:r>
      <w:r>
        <w:t xml:space="preserve"> do ambiente Bioecológico dessa população. Compreendendo o </w:t>
      </w:r>
      <w:r>
        <w:rPr>
          <w:i/>
        </w:rPr>
        <w:t>macrossistema</w:t>
      </w:r>
      <w:r>
        <w:t xml:space="preserve"> como os valores culturais, as condições políticas e econômicas, a disponibilidade de recursos materiais e estruturas de oportunidades de uma sociedade (Bronfenbrenner, 2011), a teoria nos possibilita entender por que no Brasil, um país permeado por desigualdades, alguns adolescentes não conseguem acessar o direito básico da educação. </w:t>
      </w:r>
    </w:p>
    <w:p w14:paraId="4670BF19" w14:textId="77777777" w:rsidR="00C33A41" w:rsidRDefault="007B3952">
      <w:pPr>
        <w:ind w:firstLine="720"/>
      </w:pPr>
      <w:bookmarkStart w:id="49" w:name="_heading=h.30j0zll" w:colFirst="0" w:colLast="0"/>
      <w:bookmarkEnd w:id="49"/>
      <w:r>
        <w:t xml:space="preserve">Um levantamento realizado pela UNICEF (2022) identificou que 2 milhões de crianças e adolescentes, entre 11 e 19 anos, que ainda não haviam terminado a educação básica, abandonaram a escola no Brasil. A pesquisa pontua que os mais atingidos são os que já vivenciavam situações de exclusão social e vulnerabilidade. Entre os desafios citados pelos adolescentes para explicar o rompimento com a escola, encontram-se fatores como a necessidade de trabalhar, dificuldade de acompanhar as atividades, obrigação de </w:t>
      </w:r>
      <w:r>
        <w:lastRenderedPageBreak/>
        <w:t xml:space="preserve">adotar os cuidados com familiares, falta de transporte, racismo, entre outros (UNICEF, 2022). </w:t>
      </w:r>
    </w:p>
    <w:p w14:paraId="6E600D3A" w14:textId="77777777" w:rsidR="00C33A41" w:rsidRDefault="007B3952">
      <w:pPr>
        <w:ind w:firstLine="720"/>
      </w:pPr>
      <w:r>
        <w:t xml:space="preserve">Segundo dados do IBGE (2019), o perfil dos que evadem as escolas no Brasil é, majoritariamente, de adolescentes pertencentes a famílias com menores rendimentos domiciliares e negros. O número é um pouco mais elevado para os jovens do sexo masculino, entretanto, a evasão feminina também é alta em casos de gravidez na adolescência. Os dados também mostram que a idade influencia o rompimento escolar, de modo que, a partir dos 15 anos, aumenta-se o risco de evasão para adolescentes pobres, principalmente por causa da necessidade econômica de se inserir no mercado de trabalho (IBGE, 2019). Considerando o perfil dos adolescentes que, geralmente, infracionam no Brasil, é possível identificar a nivelação com o perfil dos que evadem das escolas. </w:t>
      </w:r>
    </w:p>
    <w:p w14:paraId="75E86087" w14:textId="77777777" w:rsidR="00C33A41" w:rsidRDefault="007B3952">
      <w:pPr>
        <w:ind w:firstLine="720"/>
      </w:pPr>
      <w:r>
        <w:t xml:space="preserve">O perfil dos adolescentes que apresentam rupturas sociais com o espaço escolar pode se relacionar com as características que a TBDH atribui à </w:t>
      </w:r>
      <w:r>
        <w:rPr>
          <w:i/>
        </w:rPr>
        <w:t>Pessoa</w:t>
      </w:r>
      <w:r>
        <w:t xml:space="preserve">. De acordo com </w:t>
      </w:r>
      <w:proofErr w:type="spellStart"/>
      <w:r>
        <w:t>Tudge</w:t>
      </w:r>
      <w:proofErr w:type="spellEnd"/>
      <w:r>
        <w:t xml:space="preserve"> (2012), aspectos como idade, raça e gênero são considerados </w:t>
      </w:r>
      <w:r>
        <w:rPr>
          <w:i/>
        </w:rPr>
        <w:t>características de demanda</w:t>
      </w:r>
      <w:r>
        <w:t xml:space="preserve"> e, assim como os dados acima indicam, a depender do </w:t>
      </w:r>
      <w:r>
        <w:rPr>
          <w:i/>
        </w:rPr>
        <w:t>macrossistema</w:t>
      </w:r>
      <w:r>
        <w:t xml:space="preserve">, pode influenciar diretamente outros aspectos ecológicos e o desenvolvimento de um indivíduo. Além disso, também existem as </w:t>
      </w:r>
      <w:r>
        <w:rPr>
          <w:i/>
        </w:rPr>
        <w:t>características de recursos</w:t>
      </w:r>
      <w:r>
        <w:t>, relacionados a fatores sociais e materiais, como acesso à alimentação, moradia, oportunidades educacionais, entre outros (</w:t>
      </w:r>
      <w:proofErr w:type="spellStart"/>
      <w:r>
        <w:t>Tudge</w:t>
      </w:r>
      <w:proofErr w:type="spellEnd"/>
      <w:r>
        <w:t xml:space="preserve">, 2012). Novamente, observa-se o quanto um país racista, classista, patriarcal e desigual como o Brasil faz com que uma parcela da população não tenha garantido acesso a tais recursos, considerados determinantes para um desenvolvimento saudável e adequado, principalmente durante a adolescência. </w:t>
      </w:r>
    </w:p>
    <w:p w14:paraId="6ECC21FC" w14:textId="77777777" w:rsidR="00C33A41" w:rsidRDefault="007B3952">
      <w:pPr>
        <w:ind w:firstLine="720"/>
      </w:pPr>
      <w:r>
        <w:t xml:space="preserve">Considerando tais aspectos, Pessoa e Coimbra (2016), corroborando os dados identificados, pontuaram que as trajetórias de fracassos, evasões e defasagens escolares de adolescentes envolvidos em atos infracionais intensificam ainda mais a exclusão deles. </w:t>
      </w:r>
      <w:r>
        <w:lastRenderedPageBreak/>
        <w:t xml:space="preserve">Consequentemente, a dificuldade de reinserção social, que é objetivo da medida socioeducativa, torna-se mais difícil e os adolescentes voltam a infracionar, dando entrada novamente ao sistema de responsabilização. </w:t>
      </w:r>
    </w:p>
    <w:p w14:paraId="2840C5FF" w14:textId="77777777" w:rsidR="00C33A41" w:rsidRDefault="007B3952">
      <w:pPr>
        <w:ind w:firstLine="720"/>
      </w:pPr>
      <w:r>
        <w:t>Os fatores de risco que envolvem o desenvolvimento de adolescentes envolvidos em atos infracionais são reconhecidos pela literatura como uma expressão da organização social vigente, que acentua as condições de exclusão e a privação dos direitos básicos (</w:t>
      </w:r>
      <w:r>
        <w:rPr>
          <w:rFonts w:ascii="Times" w:eastAsia="Times" w:hAnsi="Times" w:cs="Times"/>
        </w:rPr>
        <w:t>Gomes &amp; Colaço, 2016)</w:t>
      </w:r>
      <w:r>
        <w:t xml:space="preserve">. Isso já é notado com a presença de rupturas com a escola antes mesmo da pandemia, ou seja, não é um aspecto recente na realidade desses adolescentes. Esse dado é importante pois, como indicado por Pessoa e Coimbra (2020), a evasão e a dificuldade de adaptação escolar são preditores do envolvimento em práticas ilícitas e reincidências. Essas práticas, frequentemente, geram algum tipo de bem e recurso material aos adolescentes, como o envolvimento no tráfico de drogas que possibilita um ganho financeiro. Portanto, observa-se uma associação entre a falta de acesso a recursos básicos e o rompimento com espaços protetivos (como a escola) com o envolvimento em atos infracionais. </w:t>
      </w:r>
    </w:p>
    <w:p w14:paraId="57F88E71" w14:textId="77777777" w:rsidR="00C33A41" w:rsidRDefault="007B3952">
      <w:pPr>
        <w:ind w:firstLine="720"/>
      </w:pPr>
      <w:r>
        <w:t>Dessa forma, o que se observou com a pandemia foi uma acentuação de relações que já eram conturbadas no campo educacional. E, com as necessidades de contenção sanitárias impostas, as instituições socioeducativas não demonstraram um movimento em busca de suprir fragilidades já existentes e possibilitar uma retomada com o vínculo escolar dos adolescentes. Ao contrário, como será discutido no próximo subtema, o que se verificou foram dificuldades na implementação de modelos e práticas educativas condizentes com o período de catástrofe ocasionado pelo vírus e pelo contexto de vida em que os adolescentes se encontravam naquele momento.</w:t>
      </w:r>
    </w:p>
    <w:p w14:paraId="757D77D7" w14:textId="77777777" w:rsidR="00C33A41" w:rsidRDefault="00C33A41">
      <w:pPr>
        <w:ind w:firstLine="720"/>
      </w:pPr>
    </w:p>
    <w:p w14:paraId="696B576F" w14:textId="77777777" w:rsidR="00C33A41" w:rsidRDefault="007B3952">
      <w:pPr>
        <w:pStyle w:val="Ttulo3"/>
        <w:rPr>
          <w:i w:val="0"/>
        </w:rPr>
      </w:pPr>
      <w:bookmarkStart w:id="50" w:name="_heading=h.1rvwp1q" w:colFirst="0" w:colLast="0"/>
      <w:bookmarkEnd w:id="50"/>
      <w:r>
        <w:lastRenderedPageBreak/>
        <w:t>2.3.2</w:t>
      </w:r>
      <w:r>
        <w:rPr>
          <w:sz w:val="14"/>
          <w:szCs w:val="14"/>
        </w:rPr>
        <w:t xml:space="preserve"> </w:t>
      </w:r>
      <w:r>
        <w:t>Alternativas e práticas educacionais inadequadas à realidade dos adolescentes</w:t>
      </w:r>
    </w:p>
    <w:p w14:paraId="56061F8E" w14:textId="77777777" w:rsidR="00C33A41" w:rsidRDefault="007B3952">
      <w:r>
        <w:t xml:space="preserve"> </w:t>
      </w:r>
      <w:r>
        <w:tab/>
        <w:t xml:space="preserve">Neste segundo subtema, foram reunidos os relatos dos adolescentes sobre como ficaram seus processos de escolarização no sistema de internação durante o período de pandemia. O que se observou foi a aplicação de medidas escolares alternativas, assim como em todo país, entretanto, sem considerar se seriam adequadas à realidade dos adolescentes que cumpriam medidas socioeducativas de internação. Diversos relatos indicaram uma dificuldade dos adolescentes em acompanhar os conteúdos escolares da forma como foram oferecidos durante a pandemia. </w:t>
      </w:r>
    </w:p>
    <w:p w14:paraId="43F56972" w14:textId="77777777" w:rsidR="00C33A41" w:rsidRDefault="007B3952">
      <w:pPr>
        <w:spacing w:line="240" w:lineRule="auto"/>
        <w:ind w:left="1440"/>
        <w:rPr>
          <w:sz w:val="22"/>
          <w:szCs w:val="22"/>
        </w:rPr>
      </w:pPr>
      <w:r>
        <w:rPr>
          <w:i/>
          <w:sz w:val="22"/>
          <w:szCs w:val="22"/>
        </w:rPr>
        <w:t>“</w:t>
      </w:r>
      <w:proofErr w:type="gramStart"/>
      <w:r>
        <w:rPr>
          <w:i/>
          <w:sz w:val="22"/>
          <w:szCs w:val="22"/>
        </w:rPr>
        <w:t>[...]</w:t>
      </w:r>
      <w:proofErr w:type="gramEnd"/>
      <w:r>
        <w:rPr>
          <w:i/>
          <w:sz w:val="22"/>
          <w:szCs w:val="22"/>
        </w:rPr>
        <w:t xml:space="preserve"> mas as aulas remotas me atrapalharam, não assisti nada. Deixei de aprender. Nos estudos, não dava pra gente acompanhar as coisas ali remotas, se fosse presencial sim, eu fiquei prejudicado” (Otavio, 17 anos, Porto Nacional)</w:t>
      </w:r>
    </w:p>
    <w:p w14:paraId="38DB129B" w14:textId="77777777" w:rsidR="00C33A41" w:rsidRDefault="007B3952">
      <w:pPr>
        <w:spacing w:line="240" w:lineRule="auto"/>
        <w:ind w:left="1440"/>
        <w:rPr>
          <w:sz w:val="22"/>
          <w:szCs w:val="22"/>
        </w:rPr>
      </w:pPr>
      <w:r>
        <w:rPr>
          <w:i/>
          <w:sz w:val="22"/>
          <w:szCs w:val="22"/>
        </w:rPr>
        <w:t>“[...] interferiu bastante. [</w:t>
      </w:r>
      <w:r>
        <w:rPr>
          <w:i/>
          <w:sz w:val="22"/>
          <w:szCs w:val="22"/>
          <w:u w:val="single"/>
        </w:rPr>
        <w:t>Eles tentaram manter online, né?</w:t>
      </w:r>
      <w:r>
        <w:rPr>
          <w:i/>
          <w:sz w:val="22"/>
          <w:szCs w:val="22"/>
        </w:rPr>
        <w:t>] Não é a mesma coisa. Às vezes, você tem uma dúvida não vai poder, entendeu…pessoalmente o professor te explicar. Porque pessoalmente ele vai e explica certinho e fala até você entender.” (Luiz, 16 anos, São Paulo).</w:t>
      </w:r>
    </w:p>
    <w:p w14:paraId="47659621" w14:textId="77777777" w:rsidR="00C33A41" w:rsidRDefault="007B3952">
      <w:pPr>
        <w:spacing w:line="240" w:lineRule="auto"/>
        <w:ind w:left="1440"/>
        <w:rPr>
          <w:i/>
          <w:sz w:val="22"/>
          <w:szCs w:val="22"/>
        </w:rPr>
      </w:pPr>
      <w:r>
        <w:rPr>
          <w:i/>
          <w:sz w:val="22"/>
          <w:szCs w:val="22"/>
        </w:rPr>
        <w:t xml:space="preserve">“Pra mim foi bem ruim, porque eu tenho dificuldade pra aprender as coisas. Eu sou muito lento para aprender, daí atrapalhou. Na escola tem ajuda dos professores, têm aula de reforço, em casa já não tinha, ou </w:t>
      </w:r>
      <w:proofErr w:type="gramStart"/>
      <w:r>
        <w:rPr>
          <w:i/>
          <w:sz w:val="22"/>
          <w:szCs w:val="22"/>
        </w:rPr>
        <w:t>tu aprende</w:t>
      </w:r>
      <w:proofErr w:type="gramEnd"/>
      <w:r>
        <w:rPr>
          <w:i/>
          <w:sz w:val="22"/>
          <w:szCs w:val="22"/>
        </w:rPr>
        <w:t xml:space="preserve"> na marra ou tu não aprende.” (Kevin, 18 anos, Porto Alegre)</w:t>
      </w:r>
    </w:p>
    <w:p w14:paraId="1F3D5751" w14:textId="77777777" w:rsidR="00C33A41" w:rsidRDefault="007B3952">
      <w:pPr>
        <w:spacing w:line="240" w:lineRule="auto"/>
        <w:ind w:left="1440"/>
        <w:rPr>
          <w:i/>
          <w:sz w:val="22"/>
          <w:szCs w:val="22"/>
        </w:rPr>
      </w:pPr>
      <w:r>
        <w:rPr>
          <w:i/>
          <w:sz w:val="22"/>
          <w:szCs w:val="22"/>
        </w:rPr>
        <w:t>“[...] por um lado também foi ruim, porque em casa você não aprende bastante. Na escola tem a professora pra explicar, né. Aprendeu menos, porque lá na escola eu aprendia mais.” (Samuel, 17 ano, São Paulo)</w:t>
      </w:r>
    </w:p>
    <w:p w14:paraId="0F4B8469" w14:textId="77777777" w:rsidR="00C33A41" w:rsidRDefault="00C33A41">
      <w:pPr>
        <w:spacing w:line="240" w:lineRule="auto"/>
        <w:rPr>
          <w:i/>
        </w:rPr>
      </w:pPr>
    </w:p>
    <w:p w14:paraId="5F237CA5" w14:textId="77777777" w:rsidR="00C33A41" w:rsidRDefault="007B3952">
      <w:pPr>
        <w:ind w:firstLine="720"/>
      </w:pPr>
      <w:r>
        <w:t xml:space="preserve">Como indicado no subtema anterior, muitos adolescentes do sistema socioeducativo não frequentavam a escola de forma regular ou encontram dificuldades para retomar seus processos de escolarização, frequentemente já interrompidos antes do cometimento do ato infracional. Com a pandemia e a paralisação de diversos serviços, é preciso analisar o impacto educacional diante de um contexto que já vivenciava tantas dificuldades, principalmente considerando que, para a maioria dos participantes, a retomada do vínculo escolar tenha ocorrido com a internação. </w:t>
      </w:r>
    </w:p>
    <w:p w14:paraId="6F71B13C" w14:textId="77777777" w:rsidR="00C33A41" w:rsidRDefault="007B3952">
      <w:pPr>
        <w:ind w:firstLine="720"/>
      </w:pPr>
      <w:r>
        <w:t xml:space="preserve">Como demonstrado no relato dos adolescentes, a percepção sobre a escola e, principalmente, sobre o processo de aprendizagem na internação durante a pandemia, demonstrou-se negativa devido às dificuldades em se adequar as metodologias de ensino. </w:t>
      </w:r>
      <w:r>
        <w:lastRenderedPageBreak/>
        <w:t>Portanto, se observou que não bastou apenas ser feita a retomada do processo educativo com a entrada na socioeducação para reestabelecer os vínculos educacionais com qualidade. Com a pandemia, esse retorno foi impossibilitado de ser realizado de forma adequada à realidade dos adolescentes e aumentou as defasagens educativas que os adolescentes já apresentavam, devido as rupturas prévias que já tinham com a escola (França et al., 2022). Essas dificuldades que foram acentuadas podem trazer implicações importantes no que se refere, por exemplo, a construção de projetos de vida (Pessoa e Coimbra, 2020), visto que a escola é um dos meios que os adolescentes tem para se inserir no mercado de trabalho ou entrar no ensino superior.</w:t>
      </w:r>
    </w:p>
    <w:p w14:paraId="77A94F31" w14:textId="77777777" w:rsidR="00C33A41" w:rsidRDefault="007B3952">
      <w:pPr>
        <w:ind w:firstLine="720"/>
      </w:pPr>
      <w:r>
        <w:t xml:space="preserve">O que se verificou das escolas dentro das unidades socioeducativas de privação de liberdade foi uma limitação de recursos tecnológicos e pedagógicos, além de sanitárias, para garantir que as atividades educativas fossem garantidas (França et al., 2022). Inicialmente, as alterações na rotina das unidades durante a pandemia privaram os adolescentes não apenas do contato familiar, mas também profissionais, como a ruptura com as relações pedagógicas presenciais e uma diminuição significativa de contato com o espaço escolar, além da defasem de profissionais que precisaram ser afastados devido a comorbidades e risco elevado de saúde (França et al., 2022; Vinuto, 2020). Inclusive, o Decreto nº 10.282, de 20 de março de 2020 estabeleceu a lista de serviços e atividades consideradas essenciais para a sociedade e, portanto, não seriam interrompidas durante o isolamento. Neste decreto, a educação não foi considerada serviço de necessidade inadiável, porém, as atividades de segurança pública, incluindo a custódia de pessoas apreendidas, foram mantidas. </w:t>
      </w:r>
    </w:p>
    <w:p w14:paraId="35500981" w14:textId="77777777" w:rsidR="00C33A41" w:rsidRDefault="007B3952">
      <w:pPr>
        <w:ind w:firstLine="720"/>
      </w:pPr>
      <w:r>
        <w:t xml:space="preserve">Portanto, os adolescentes em internação permaneceram dentro das unidades socioeducativas, que deveriam ser consideradas como “estabelecimentos educacionais” (Lei nº 12.594, 2012), por supostas questões de segurança pública (Vinuto et al., 2021). </w:t>
      </w:r>
      <w:r>
        <w:lastRenderedPageBreak/>
        <w:t>Com isso, a garantia da educação ficou secundarizada e sendo aplicada de forma precária e má-adaptada, como mostra o estudo de França et al. (2022), em que foram apresentadas as condições de escolarização de adolescentes privados de liberdade no estado do Paraná. As atividades escolares entraram em forma remota, mediada por vídeos e materiais impressos e com escalas de pedagogas encarregadas de organizar os materiais a serem disponibilizados para os adolescentes (França et al., 2022). Nesse contexto, as autoras pontuaram a necessidade de questionar se essas adaptações realmente possibilitaram a continuidade das atividades educacionais de forma efetiva e com resultados satisfatórios ao processo de aprendizagem, pois a realidade que se tem nas políticas públicas e seus equipamentos no Brasil é de limitações de recursos, tanto tecnológicos quanto pedagógicos, para as modalidades propostas.</w:t>
      </w:r>
    </w:p>
    <w:p w14:paraId="5A8979B2" w14:textId="59136776" w:rsidR="00C33A41" w:rsidRDefault="007B3952">
      <w:pPr>
        <w:ind w:firstLine="720"/>
        <w:rPr>
          <w:rFonts w:ascii="Times" w:eastAsia="Times" w:hAnsi="Times" w:cs="Times"/>
        </w:rPr>
      </w:pPr>
      <w:r>
        <w:t>Como ficou evidente nos relatos dos participantes desta pesquisa, as metodologias adotadas durante a pandemia não foram efetivas. A maior parte dos adolescentes indicaram dificuldades em realizar as atividades sozinhos, sem o contato frequente com os profissionais da educação. Pelo olhar da TBDH, isso seria um entrave no desenvolvimento, visto que para que ele ocorra a pessoa precisa ter engajamento na atividade de forma contínua e durante um período considerável de tempo (</w:t>
      </w:r>
      <w:proofErr w:type="spellStart"/>
      <w:r>
        <w:rPr>
          <w:rFonts w:ascii="Times" w:eastAsia="Times" w:hAnsi="Times" w:cs="Times"/>
        </w:rPr>
        <w:t>Bhering</w:t>
      </w:r>
      <w:proofErr w:type="spellEnd"/>
      <w:r>
        <w:rPr>
          <w:rFonts w:ascii="Times" w:eastAsia="Times" w:hAnsi="Times" w:cs="Times"/>
        </w:rPr>
        <w:t xml:space="preserve"> &amp; </w:t>
      </w:r>
      <w:proofErr w:type="spellStart"/>
      <w:r>
        <w:rPr>
          <w:rFonts w:ascii="Times" w:eastAsia="Times" w:hAnsi="Times" w:cs="Times"/>
        </w:rPr>
        <w:t>Sarkis</w:t>
      </w:r>
      <w:proofErr w:type="spellEnd"/>
      <w:r>
        <w:rPr>
          <w:rFonts w:ascii="Times" w:eastAsia="Times" w:hAnsi="Times" w:cs="Times"/>
        </w:rPr>
        <w:t>, 2009).</w:t>
      </w:r>
      <w:r>
        <w:rPr>
          <w:rFonts w:ascii="Times" w:eastAsia="Times" w:hAnsi="Times" w:cs="Times"/>
          <w:i/>
        </w:rPr>
        <w:t xml:space="preserve"> </w:t>
      </w:r>
      <w:r>
        <w:rPr>
          <w:rFonts w:ascii="Times" w:eastAsia="Times" w:hAnsi="Times" w:cs="Times"/>
        </w:rPr>
        <w:t>Além disso, os contextos desenvolvimentais, neste caso, o espaço escolar, devem fornecer o as condições e o direcionamento para que o indivíduo alcance os processos proximais (</w:t>
      </w:r>
      <w:r>
        <w:t>Bronfenbrenner, 1996)</w:t>
      </w:r>
      <w:r>
        <w:rPr>
          <w:rFonts w:ascii="Times" w:eastAsia="Times" w:hAnsi="Times" w:cs="Times"/>
        </w:rPr>
        <w:t>. No caso dos participantes e seus processos de escolarização, observou-se que esses fatores não foram ofertados p</w:t>
      </w:r>
      <w:r w:rsidR="00182116">
        <w:rPr>
          <w:rFonts w:ascii="Times" w:eastAsia="Times" w:hAnsi="Times" w:cs="Times"/>
        </w:rPr>
        <w:t>or algumas das</w:t>
      </w:r>
      <w:r>
        <w:rPr>
          <w:rFonts w:ascii="Times" w:eastAsia="Times" w:hAnsi="Times" w:cs="Times"/>
        </w:rPr>
        <w:t xml:space="preserve"> unidades de internação durante a pandemia. </w:t>
      </w:r>
    </w:p>
    <w:p w14:paraId="670E87B7" w14:textId="77777777" w:rsidR="00C33A41" w:rsidRDefault="007B3952">
      <w:pPr>
        <w:ind w:firstLine="720"/>
      </w:pPr>
      <w:r>
        <w:t xml:space="preserve">Dessa forma, a escola dentro do contexto socioeducativo deveria ser considerada um espaço de potencialidades para o desenvolvimento dos adolescentes, pois, além de quebrar o isolamento da internação pelo contato e interação com a equipe pedagógica, </w:t>
      </w:r>
      <w:r>
        <w:lastRenderedPageBreak/>
        <w:t xml:space="preserve">também deveria possibilitar o engajamento em ações educativas (Hernández, 2018). Entretanto, o que se observou foi que a pandemia fez com que a privação de liberdade, sem o caráter educativo sendo efetivado, se tornasse um contexto apenas punitivista e de responsabilização, perdendo seu foco principal, que é o desenvolvimento socioeducativo dos adolescentes acompanhados. </w:t>
      </w:r>
    </w:p>
    <w:p w14:paraId="33796075" w14:textId="77777777" w:rsidR="00C33A41" w:rsidRDefault="007B3952">
      <w:pPr>
        <w:ind w:firstLine="720"/>
      </w:pPr>
      <w:r>
        <w:t>Além disso, a configuração das práticas educativas durante a pandemia pode apresentar, como consequência, o atraso no processo de aprendizagem escolar dos adolescentes, visto que eles relataram dificuldades para aprender. Considerando suas trajetórias conflituosas de escolarização e as fragilidades que o sistema socioeducativo deveria ajudar a superar, o que se analisa é que a pandemia e suas medidas de contenção foram discriminatórias e reforçaram ainda mais a exclusão social dos adolescentes em cumprimento de medidas de internação ao acentuar uma dificuldade que já era presente em seu cotidiano: a permanência e o sucesso acadêmico.</w:t>
      </w:r>
    </w:p>
    <w:p w14:paraId="52762E56" w14:textId="77777777" w:rsidR="00C33A41" w:rsidRDefault="007B3952">
      <w:pPr>
        <w:spacing w:line="276" w:lineRule="auto"/>
        <w:ind w:left="1080"/>
        <w:rPr>
          <w:b/>
        </w:rPr>
      </w:pPr>
      <w:r>
        <w:rPr>
          <w:b/>
        </w:rPr>
        <w:t xml:space="preserve"> </w:t>
      </w:r>
    </w:p>
    <w:p w14:paraId="1ADC7E2C" w14:textId="77777777" w:rsidR="00C33A41" w:rsidRDefault="007B3952">
      <w:pPr>
        <w:pStyle w:val="Ttulo3"/>
      </w:pPr>
      <w:bookmarkStart w:id="51" w:name="_heading=h.4bvk7pj" w:colFirst="0" w:colLast="0"/>
      <w:bookmarkEnd w:id="51"/>
      <w:r>
        <w:t>2.3.3</w:t>
      </w:r>
      <w:r>
        <w:rPr>
          <w:sz w:val="14"/>
          <w:szCs w:val="14"/>
        </w:rPr>
        <w:t xml:space="preserve"> </w:t>
      </w:r>
      <w:r>
        <w:t xml:space="preserve">Impactos educacionais que a pandemia pode ocasionar na vida dos adolescentes em internação </w:t>
      </w:r>
    </w:p>
    <w:p w14:paraId="17E12B2A" w14:textId="77777777" w:rsidR="00C33A41" w:rsidRDefault="007B3952">
      <w:pPr>
        <w:ind w:firstLine="720"/>
      </w:pPr>
      <w:r>
        <w:t xml:space="preserve">O terceiro subtema está relacionado com o anterior, visto que, identificada a inadequação das práticas escolares durante a pandemia, é preciso refletir sobre o impacto na educação e nos projetos futuros dos adolescentes. Os jovens em internação já apresentam um déficit escolar que, segundo relatos, ficaram ainda mais acentuados durante a pandemia. Sendo assim, é preciso analisar como esse período de práticas escolares adaptadas podem interferir também nas realidades futuras e em outras instâncias do desenvolvimento desses adolescentes.  </w:t>
      </w:r>
    </w:p>
    <w:p w14:paraId="3441A12E" w14:textId="77777777" w:rsidR="00C33A41" w:rsidRDefault="007B3952">
      <w:pPr>
        <w:spacing w:line="240" w:lineRule="auto"/>
        <w:ind w:left="1440"/>
        <w:rPr>
          <w:i/>
          <w:sz w:val="22"/>
          <w:szCs w:val="22"/>
        </w:rPr>
      </w:pPr>
      <w:r>
        <w:rPr>
          <w:i/>
          <w:sz w:val="22"/>
          <w:szCs w:val="22"/>
        </w:rPr>
        <w:t>“Depois que começou a pandemia eu não estava estudando, não. Parei de estudar. Depois que eu reprovei não estudei mais não” (Elias, 18 anos, São Paulo)</w:t>
      </w:r>
    </w:p>
    <w:p w14:paraId="54D14105" w14:textId="77777777" w:rsidR="00C33A41" w:rsidRDefault="007B3952">
      <w:pPr>
        <w:spacing w:line="240" w:lineRule="auto"/>
        <w:ind w:left="1440"/>
        <w:rPr>
          <w:i/>
          <w:sz w:val="22"/>
          <w:szCs w:val="22"/>
        </w:rPr>
      </w:pPr>
      <w:r>
        <w:rPr>
          <w:i/>
          <w:sz w:val="22"/>
          <w:szCs w:val="22"/>
        </w:rPr>
        <w:t xml:space="preserve">“Aí eu fazia o que, eu ia na escola, pegava matéria, fazia e entregava. Mas aí também depois perdi interesse de fazer, saí e falei:’ah, não está tendo </w:t>
      </w:r>
      <w:r>
        <w:rPr>
          <w:i/>
          <w:sz w:val="22"/>
          <w:szCs w:val="22"/>
        </w:rPr>
        <w:lastRenderedPageBreak/>
        <w:t>aula, então não vou fazer nada não’. Mas no final me arrependi, porque atrasa” (Igor, 18 anos, São Paulo)</w:t>
      </w:r>
    </w:p>
    <w:p w14:paraId="7AB83873" w14:textId="77777777" w:rsidR="00C33A41" w:rsidRDefault="007B3952">
      <w:pPr>
        <w:spacing w:line="240" w:lineRule="auto"/>
        <w:ind w:left="1440"/>
        <w:rPr>
          <w:i/>
          <w:sz w:val="22"/>
          <w:szCs w:val="22"/>
        </w:rPr>
      </w:pPr>
      <w:r>
        <w:rPr>
          <w:i/>
          <w:sz w:val="22"/>
          <w:szCs w:val="22"/>
        </w:rPr>
        <w:t>“Ah, afetou na minha vida [a pandemia], né? Porque por causa desse bagulho aí eu repeti na escola, já era para ter terminado.” (Luiz, 16 anos, São Paulo)</w:t>
      </w:r>
    </w:p>
    <w:p w14:paraId="085A999A" w14:textId="77777777" w:rsidR="00C33A41" w:rsidRDefault="007B3952">
      <w:pPr>
        <w:spacing w:line="240" w:lineRule="auto"/>
        <w:ind w:left="1440"/>
        <w:rPr>
          <w:i/>
          <w:sz w:val="22"/>
          <w:szCs w:val="22"/>
        </w:rPr>
      </w:pPr>
      <w:r>
        <w:rPr>
          <w:i/>
          <w:sz w:val="22"/>
          <w:szCs w:val="22"/>
        </w:rPr>
        <w:t>“Eu pensei que eles fizeram errado pra fechar as escolas, muita gente já tava perto de se formar, tava aprendendo ainda, como eu. Aí de repente, pegou e fechou. Mas esses dois anos que ficou sem escola a pessoa não vai ficar lembrando toda hora, só se ficar treinando. Eu esqueci tudo. Tô voltando agora de novo a lembrar.” (Tiago, 16 anos, Salvador)</w:t>
      </w:r>
    </w:p>
    <w:p w14:paraId="16C36C29" w14:textId="77777777" w:rsidR="00C33A41" w:rsidRDefault="007B3952">
      <w:pPr>
        <w:spacing w:line="240" w:lineRule="auto"/>
        <w:ind w:left="1440"/>
        <w:rPr>
          <w:i/>
          <w:sz w:val="22"/>
          <w:szCs w:val="22"/>
        </w:rPr>
      </w:pPr>
      <w:r>
        <w:rPr>
          <w:i/>
          <w:sz w:val="22"/>
          <w:szCs w:val="22"/>
        </w:rPr>
        <w:t>“[...] escola também, tem horas que vou pra escola, tem horas que não dá vontade de ir. [</w:t>
      </w:r>
      <w:r>
        <w:rPr>
          <w:i/>
          <w:sz w:val="22"/>
          <w:szCs w:val="22"/>
          <w:u w:val="single"/>
        </w:rPr>
        <w:t>Antes você gostava de escola?</w:t>
      </w:r>
      <w:r>
        <w:rPr>
          <w:i/>
          <w:sz w:val="22"/>
          <w:szCs w:val="22"/>
        </w:rPr>
        <w:t>] Gostava, mas depois que parou tudo, eu não tenho mais vontade de voltar.” (Davi, 17 anos, Salvador)</w:t>
      </w:r>
    </w:p>
    <w:p w14:paraId="621911BF" w14:textId="77777777" w:rsidR="00C33A41" w:rsidRDefault="00C33A41">
      <w:pPr>
        <w:spacing w:line="240" w:lineRule="auto"/>
        <w:ind w:left="1440"/>
        <w:rPr>
          <w:i/>
        </w:rPr>
      </w:pPr>
    </w:p>
    <w:p w14:paraId="76CAB6B5" w14:textId="77777777" w:rsidR="00C33A41" w:rsidRDefault="007B3952">
      <w:pPr>
        <w:ind w:firstLine="720"/>
      </w:pPr>
      <w:r>
        <w:t xml:space="preserve">Como demonstram os relatos dos adolescentes em internação, a pandemia e suas medidas de contenção interferiram, consideravelmente, nos seus processos de escolarização. Os dados indicaram a presença de diversas consequências educacionais desastrosas para o desenvolvimento dos adolescentes, tais como perda de interesse e engajamento pelo processo educativo, reprovações e até abandono escolar. Dessa forma, corrobora a hipótese levantada nesta tese de que a pandemia promoveu rompimentos sociais significativos na vida de adolescentes em privação de liberdade. A escola, que já era um contexto frágil, tornou-se mais suscetível às rupturas. </w:t>
      </w:r>
    </w:p>
    <w:p w14:paraId="59D0344A" w14:textId="77777777" w:rsidR="00C33A41" w:rsidRDefault="007B3952">
      <w:pPr>
        <w:ind w:firstLine="720"/>
      </w:pPr>
      <w:r>
        <w:t xml:space="preserve">Entretanto, teorias naturalizantes sobre desenvolvimento humano corriqueiramente responsabilizam os adolescentes, de forma individual, por dificuldades cujas origens são sociais (Pessoa, 2015). Neste sentido, a TBDH chama a atenção para o fato de que é preciso uma compreensão contextualizada, que considere os ambientes ecológicos de desenvolvimento para entender a realidade de um sujeito de forma mais abrangente. Além disso, é necessário avaliar a maneira como essa realidade é percebida e experienciada pela pessoa nos contextos em que ela está inserida (Bronfenbrenner, 1977). Portanto, a crítica deve ser voltada para as condições escolares que as instituições socioeducativas ofertaram durante a pandemia e não para os adolescentes de maneira individualista. O que os adolescentes apontaram foram as repercussões psicossociais </w:t>
      </w:r>
      <w:r>
        <w:lastRenderedPageBreak/>
        <w:t>negativas percebidas nos seus processos de escolarização, ocasionando, inclusive, uma nova ruptura com a escola, resultado de falhas institucionais.</w:t>
      </w:r>
    </w:p>
    <w:p w14:paraId="2372E25C" w14:textId="77777777" w:rsidR="00C33A41" w:rsidRDefault="007B3952">
      <w:pPr>
        <w:ind w:firstLine="720"/>
      </w:pPr>
      <w:r>
        <w:t xml:space="preserve">A TBDH ainda dispõe que a </w:t>
      </w:r>
      <w:r>
        <w:rPr>
          <w:i/>
        </w:rPr>
        <w:t>Pessoa</w:t>
      </w:r>
      <w:r>
        <w:t xml:space="preserve"> está em constante mudanças ao longo do desenvolvimento, de forma que características como convicções, metas, motivações e níveis de atividade podem sofrer oscilações a depender das interações com os contextos ecológicos (Leão et al., 2015). Os dados mostraram essas oscilações ao longo do tempo na vida dos adolescentes no que se refere aos vínculos escolares. Inicialmente, havia rompimentos com o contexto escolar antes da internação e da pandemia; com a internação esses vínculos são retomados por meio da inserção na escola das unidades socioeducativas; entretanto, com a pandemia e as adaptações educativas feitas, novamente surge o risco de rupturas educacional, identificado nas verbalizações dos jovens que demonstram as desmotivações e desistências do processo escolar.</w:t>
      </w:r>
    </w:p>
    <w:p w14:paraId="0962B758" w14:textId="77777777" w:rsidR="00C33A41" w:rsidRDefault="007B3952">
      <w:pPr>
        <w:ind w:firstLine="720"/>
      </w:pPr>
      <w:r>
        <w:t>Tudo isso vai na contramão do que é preconizado pelas próprias políticas públicas socioeducativas, visto que, como já pontuado, inserem o caráter educacional como ponto nevrálgico do acompanhamento dos adolescentes dentro das unidades de internação (Lei n.8.069, 1990; Lei nº 12.594, 2012). E, considerando o aspecto de temporalidade do desenvolvimento humano, é preciso se atentar para quais outros contextos esses desdobramentos escolares podem e como vão interferir no futuro dos adolescentes que estavam cumprindo medida de privação de liberdade durante a pandemia. O próximo capítulo vai discutir justamente os projetos de vida desses adolescentes, considerando o período de pandemia e seus desdobramentos.</w:t>
      </w:r>
    </w:p>
    <w:p w14:paraId="2B206F3B" w14:textId="77777777" w:rsidR="00C33A41" w:rsidRDefault="00C33A41">
      <w:pPr>
        <w:rPr>
          <w:color w:val="FF0000"/>
        </w:rPr>
      </w:pPr>
    </w:p>
    <w:p w14:paraId="1657F01F" w14:textId="77777777" w:rsidR="00C33A41" w:rsidRDefault="00C33A41">
      <w:pPr>
        <w:rPr>
          <w:color w:val="FF0000"/>
        </w:rPr>
      </w:pPr>
    </w:p>
    <w:p w14:paraId="46A385E4" w14:textId="77777777" w:rsidR="00C33A41" w:rsidRDefault="00C33A41">
      <w:pPr>
        <w:rPr>
          <w:rFonts w:ascii="ArialMT" w:eastAsia="ArialMT" w:hAnsi="ArialMT" w:cs="ArialMT"/>
          <w:color w:val="00000A"/>
        </w:rPr>
      </w:pPr>
    </w:p>
    <w:p w14:paraId="0A545140" w14:textId="77777777" w:rsidR="00C33A41" w:rsidRDefault="00C33A41">
      <w:pPr>
        <w:rPr>
          <w:rFonts w:ascii="ArialMT" w:eastAsia="ArialMT" w:hAnsi="ArialMT" w:cs="ArialMT"/>
          <w:color w:val="00000A"/>
        </w:rPr>
      </w:pPr>
    </w:p>
    <w:p w14:paraId="5FBDBA6C" w14:textId="77777777" w:rsidR="00C33A41" w:rsidRDefault="007B3952">
      <w:pPr>
        <w:sectPr w:rsidR="00C33A41">
          <w:pgSz w:w="11906" w:h="16838"/>
          <w:pgMar w:top="1417" w:right="1701" w:bottom="1417" w:left="1701" w:header="708" w:footer="708" w:gutter="0"/>
          <w:pgNumType w:start="51"/>
          <w:cols w:space="720"/>
        </w:sectPr>
      </w:pPr>
      <w:r>
        <w:lastRenderedPageBreak/>
        <w:br w:type="page"/>
      </w:r>
    </w:p>
    <w:p w14:paraId="0CA5A797" w14:textId="77777777" w:rsidR="00C33A41" w:rsidRDefault="007B3952">
      <w:pPr>
        <w:pStyle w:val="Ttulo1"/>
      </w:pPr>
      <w:bookmarkStart w:id="52" w:name="_heading=h.2r0uhxc" w:colFirst="0" w:colLast="0"/>
      <w:bookmarkEnd w:id="52"/>
      <w:r>
        <w:lastRenderedPageBreak/>
        <w:t xml:space="preserve">CAPÍTULO 4: PANDEMIA E SEUS EFEITOS NOS PROJETOS DE VIDA DE ADOLESCENTES EM CUMPRIMENTO DE MEDIDA SOCIOEDUCATIVA DE INTERNAÇÃO </w:t>
      </w:r>
    </w:p>
    <w:p w14:paraId="4A1B03FA" w14:textId="77777777" w:rsidR="00C33A41" w:rsidRDefault="00C33A41">
      <w:pPr>
        <w:rPr>
          <w:b/>
        </w:rPr>
      </w:pPr>
    </w:p>
    <w:p w14:paraId="09746989" w14:textId="77777777" w:rsidR="00C33A41" w:rsidRDefault="007B3952">
      <w:pPr>
        <w:ind w:firstLine="720"/>
      </w:pPr>
      <w:r>
        <w:t xml:space="preserve">Dados de diversas pesquisas têm mostrado que a população infantojuvenil se constitui como um dos segmentos mais vulneráveis aos problemas estruturais do país e podem, por vezes, se tornarem mais suscetíveis a se envolverem em atividades ilícitas ou ilegais (Jimenez, &amp; </w:t>
      </w:r>
      <w:proofErr w:type="spellStart"/>
      <w:r>
        <w:t>Frasseto</w:t>
      </w:r>
      <w:proofErr w:type="spellEnd"/>
      <w:r>
        <w:t xml:space="preserve">, 2015; Pessoa, 2015; Pessoa et al., 2018). Assim, entende-se que os atos infracionais cometidos por adolescentes estão intrinsecamente ligados a condições históricas de exclusão social vividas por esse segmento. </w:t>
      </w:r>
    </w:p>
    <w:p w14:paraId="52016CD5" w14:textId="77777777" w:rsidR="00C33A41" w:rsidRDefault="007B3952">
      <w:pPr>
        <w:ind w:firstLine="720"/>
      </w:pPr>
      <w:r>
        <w:t>A exclusão social deve ser considerada um processo multifacetado e engloba dimensões sociais, subjetivas, territoriais, mental, entre outras (</w:t>
      </w:r>
      <w:proofErr w:type="spellStart"/>
      <w:r>
        <w:t>Sawaia</w:t>
      </w:r>
      <w:proofErr w:type="spellEnd"/>
      <w:r>
        <w:t>, 2001). Desse modo, deve ser analisada a partir de um prisma ético-psicossociológico devido à sua complexidade (</w:t>
      </w:r>
      <w:proofErr w:type="spellStart"/>
      <w:r>
        <w:t>Sawaia</w:t>
      </w:r>
      <w:proofErr w:type="spellEnd"/>
      <w:r>
        <w:t xml:space="preserve">, 2001). Na realidade brasileira, os processos de exclusão social ocorrem por questões raciais, econômicas, culturais, políticas e educativas. A exclusão social materializa-se na população através da pobreza, das desigualdades, da ausência de representação pública e política, além da privação a serviços públicos que deveriam ser garantidos a todos (como saúde e educação) (Castro-Silva et al., 2021)  </w:t>
      </w:r>
    </w:p>
    <w:p w14:paraId="1BB90CD6" w14:textId="77777777" w:rsidR="00C33A41" w:rsidRDefault="007B3952">
      <w:pPr>
        <w:ind w:firstLine="720"/>
      </w:pPr>
      <w:proofErr w:type="spellStart"/>
      <w:r>
        <w:t>Sawaia</w:t>
      </w:r>
      <w:proofErr w:type="spellEnd"/>
      <w:r>
        <w:t xml:space="preserve"> (2001) pontua que, além da dimensão econômica e de acesso a direitos, ao analisar a exclusão também é preciso considerar aspectos como a temporalidade e a afetividade. Mello (2014), complementarmente, indicou que além da ausência de recursos materiais, observa-se um sofrimento em jovens em situação de exclusão social ocasionados pelos rótulos que recebem, tais como: favelados, delinquentes, infratores, entre outros. Isso faz com o grupo seja caracterizado como perigoso ou indigno de confiança e, consequentemente, válida diversas violações de direitos fundamentais. </w:t>
      </w:r>
    </w:p>
    <w:p w14:paraId="252E1EF9" w14:textId="58A8D6A9" w:rsidR="00C33A41" w:rsidRDefault="007B3952">
      <w:pPr>
        <w:ind w:firstLine="720"/>
      </w:pPr>
      <w:r>
        <w:lastRenderedPageBreak/>
        <w:t xml:space="preserve">Dados sobre violência no Brasil evidenciaram que adolescentes e jovens entre 15 e 29 anos, a maioria negros, são os que mais apresentam risco de serem vítimas de homicídios (Cerqueira, 2021). De acordo com o </w:t>
      </w:r>
      <w:r w:rsidR="00B06B60">
        <w:t>Atlas da Violência 2021</w:t>
      </w:r>
      <w:r>
        <w:t>, grande parte dos jovens e adolescentes assassinados no país vivenciavam situações de exclusão e vulnerabilidade social, como não concluir a vida escolar, ausência de inserção profissional ou não ter constituído sua própria família (Cerqueira, 2021). É importante pontuar que situações de exclusão social comprometem direitos básicos e a garantia da cidadania, causando um ciclo de precarização da vida de indivíduos e comunidades no que se refere a diferentes fatores (educação, saúde, trabalho, moradia, alimentação, entre outros) (Castro-Silva et al., 2021).</w:t>
      </w:r>
    </w:p>
    <w:p w14:paraId="7566F6E4" w14:textId="77777777" w:rsidR="00C33A41" w:rsidRDefault="007B3952">
      <w:pPr>
        <w:ind w:firstLine="720"/>
      </w:pPr>
      <w:r>
        <w:t xml:space="preserve">Diante desse processo de exclusão social, por vezes negado na realidade brasileira, observou-se um agravamento durante a pandemia de diversos problemas devido ao contexto epidemiológico e sanitários desencadeados pelo vírus do Covid-19. Inicialmente, houve uma preocupação dos órgãos de saúde essencialmente voltada sobre quais medidas salutares tomar para a contenção da propagação da doença. O conhecimento científico incipiente sobre vírus, a velocidade da transmissão e o número elevado de mortes, principalmente em populações já expostas a vulnerabilidades acentuadas (Werneck &amp; Carvalho, 2020), foram fatores que preocuparam diversos setores da sociedade. </w:t>
      </w:r>
    </w:p>
    <w:p w14:paraId="0A1A9120" w14:textId="77777777" w:rsidR="00C33A41" w:rsidRDefault="007B3952">
      <w:pPr>
        <w:ind w:firstLine="720"/>
      </w:pPr>
      <w:r>
        <w:t xml:space="preserve">A principal medida de contenção, recomendada pela Organização Mundial de Saúde (OMS), foi o isolamento social (ou como ficou popularmente conhecida, a quarentena). Essa estratégia foi instaurada para tentar conter o rápido crescimento de casos e, especialmente, diminuir a sobrecarga dos serviços de saúde (Marques et al., 2020). Entretanto, desde o início da pandemia, questionou-se o quanto as recomendações seguidas mundialmente causaram impactos em outras áreas, como por exemplo, no </w:t>
      </w:r>
      <w:r>
        <w:lastRenderedPageBreak/>
        <w:t>âmbito educacional, nos relacionamentos interpessoais ou em setores econômicos importantes.</w:t>
      </w:r>
    </w:p>
    <w:p w14:paraId="383E3BB0" w14:textId="77777777" w:rsidR="00C33A41" w:rsidRDefault="007B3952">
      <w:pPr>
        <w:ind w:firstLine="720"/>
      </w:pPr>
      <w:r>
        <w:t>Ao observar, por exemplo, a possível acentuação dos riscos sociais para populações que já vivenciavam exclusões sociais, a OECD (2020) indicou a necessidade da identificação, não apenas dos fatores de risco, mas, principalmente, dos fatores de proteção na vida de adolescentes em vulnerabilidade. Entretanto, a identificação de dispositivos efetivamente protetivos não é uma tarefa fácil de se realizar, visto que esses adolescentes, muitas vezes, não recebem atendimento de acordo com a especificidade do seu período de desenvolvimento (</w:t>
      </w:r>
      <w:proofErr w:type="spellStart"/>
      <w:r>
        <w:t>Scisleski</w:t>
      </w:r>
      <w:proofErr w:type="spellEnd"/>
      <w:r>
        <w:t xml:space="preserve"> et al., 2015; Azevedo et al., 2017), e tampouco encontram possibilidades reais de transformação da condição de vulnerabilidade a qual se encontram (</w:t>
      </w:r>
      <w:proofErr w:type="spellStart"/>
      <w:r>
        <w:t>Benelli</w:t>
      </w:r>
      <w:proofErr w:type="spellEnd"/>
      <w:r>
        <w:t>, 2014).</w:t>
      </w:r>
    </w:p>
    <w:p w14:paraId="46849838" w14:textId="77777777" w:rsidR="00C33A41" w:rsidRDefault="007B3952">
      <w:pPr>
        <w:ind w:firstLine="720"/>
      </w:pPr>
      <w:r>
        <w:t xml:space="preserve">Dentre os fatores que podem ser considerados como protetivos e que, mais recentemente, têm recebido atenção da comunidade acadêmica são os projetos de vida. Autores da psicologia têm ressaltado que a elaboração destes projetos pode, por exemplo, proteger os adolescentes de comportamentos autodestrutivos, motivar uma atitude positiva frente a vida e levar ao distanciamento do uso de substâncias psicoativas (Damon, 2009; </w:t>
      </w:r>
      <w:proofErr w:type="spellStart"/>
      <w:r>
        <w:t>Dellazzana</w:t>
      </w:r>
      <w:proofErr w:type="spellEnd"/>
      <w:r>
        <w:t xml:space="preserve">-Zanon &amp; Freitas, 2015). </w:t>
      </w:r>
    </w:p>
    <w:p w14:paraId="67D0688B" w14:textId="77777777" w:rsidR="00C33A41" w:rsidRDefault="007B3952">
      <w:pPr>
        <w:ind w:firstLine="720"/>
        <w:rPr>
          <w:color w:val="000000"/>
        </w:rPr>
      </w:pPr>
      <w:r>
        <w:rPr>
          <w:color w:val="000000"/>
        </w:rPr>
        <w:t>Compreende-se que o projeto de vida deve ser visto de forma contextualizada, levando em consideração mecanismos históricos e a partir de uma realidade sistêmica (</w:t>
      </w:r>
      <w:proofErr w:type="spellStart"/>
      <w:r>
        <w:t>Coscioni</w:t>
      </w:r>
      <w:proofErr w:type="spellEnd"/>
      <w:r>
        <w:t>, 2017</w:t>
      </w:r>
      <w:r>
        <w:rPr>
          <w:color w:val="000000"/>
        </w:rPr>
        <w:t>). Nesta Tese, define-se projeto de vida “como a intenção de transformação da</w:t>
      </w:r>
      <w:r>
        <w:t xml:space="preserve"> </w:t>
      </w:r>
      <w:r>
        <w:rPr>
          <w:color w:val="000000"/>
        </w:rPr>
        <w:t xml:space="preserve">realidade, orientado por uma representação do sentido dessa transformação, em que são consideradas as condições reais na relação entre passado e presente na perspectiva de futuro” (Marcelino et al., 2009, p. 547). Sendo assim, o projeto de vida é uma organização multidimensional que engloba e articula aspectos socioafetivos, sociocognitivos e espaço-temporais. As dimensões socioafetivas e </w:t>
      </w:r>
      <w:r>
        <w:rPr>
          <w:color w:val="000000"/>
        </w:rPr>
        <w:lastRenderedPageBreak/>
        <w:t>cognitivas provêm de processos dialéticos entre mente e mundo exterior, enquanto o aspecto espaço-temporal delimita o agora cotidiano (</w:t>
      </w:r>
      <w:proofErr w:type="spellStart"/>
      <w:r>
        <w:rPr>
          <w:color w:val="000000"/>
        </w:rPr>
        <w:t>Coscioni</w:t>
      </w:r>
      <w:proofErr w:type="spellEnd"/>
      <w:r>
        <w:rPr>
          <w:color w:val="000000"/>
        </w:rPr>
        <w:t>, 2017).</w:t>
      </w:r>
    </w:p>
    <w:p w14:paraId="41479249" w14:textId="77777777" w:rsidR="00C33A41" w:rsidRDefault="007B3952">
      <w:pPr>
        <w:ind w:firstLine="708"/>
        <w:rPr>
          <w:color w:val="000000"/>
        </w:rPr>
      </w:pPr>
      <w:r>
        <w:rPr>
          <w:color w:val="000000"/>
        </w:rPr>
        <w:t>A concepção de projeto de vida supracitada defende, portanto, a objetivação da ligação entre passado, presente e futuro, e ainda entre as esferas pública e privada da vida diária (Silveira et al., 2015). Além do mais, é preciso evidenciar a importância da reflexão crítica ao redor das experiências individuais, permitindo a conscientização sobre as possibilidades e as impossibilidades de superar a realidade atual e alcançar as aspirações futuras (Marcelino et al., 2009).</w:t>
      </w:r>
    </w:p>
    <w:p w14:paraId="71C3C2AC" w14:textId="77777777" w:rsidR="00C33A41" w:rsidRDefault="007B3952">
      <w:pPr>
        <w:ind w:firstLine="708"/>
        <w:rPr>
          <w:color w:val="000000"/>
        </w:rPr>
      </w:pPr>
      <w:r>
        <w:rPr>
          <w:color w:val="000000"/>
        </w:rPr>
        <w:t>As intervenções psicológicas e psicossociais sobre projeto de vida requerem uma visão de desenvolvimento da adolescência sem os estigmas e estereotipias que algumas correntes psicológicas estabelecem sobre este período (</w:t>
      </w:r>
      <w:proofErr w:type="spellStart"/>
      <w:r>
        <w:t>Rogoff</w:t>
      </w:r>
      <w:proofErr w:type="spellEnd"/>
      <w:r>
        <w:t>, 2005</w:t>
      </w:r>
      <w:r>
        <w:rPr>
          <w:color w:val="000000"/>
        </w:rPr>
        <w:t>). As correntes naturalistas e universais compreendem o adolescente como um indivíduo naturalmente em conflito, o que fica ainda mais acentuado para aqueles que se envolvem em situações</w:t>
      </w:r>
      <w:r>
        <w:t xml:space="preserve"> </w:t>
      </w:r>
      <w:r>
        <w:rPr>
          <w:color w:val="000000"/>
        </w:rPr>
        <w:t>específicas, tais como os que cometem atos infracionais, que passam a ser estigmatizados e rotulados (</w:t>
      </w:r>
      <w:proofErr w:type="spellStart"/>
      <w:r>
        <w:t>Mondini</w:t>
      </w:r>
      <w:proofErr w:type="spellEnd"/>
      <w:r>
        <w:t>, 2011).</w:t>
      </w:r>
    </w:p>
    <w:p w14:paraId="7E103D9C" w14:textId="77777777" w:rsidR="00C33A41" w:rsidRDefault="007B3952">
      <w:pPr>
        <w:ind w:firstLine="708"/>
        <w:rPr>
          <w:color w:val="000000"/>
        </w:rPr>
      </w:pPr>
      <w:r>
        <w:rPr>
          <w:color w:val="000000"/>
        </w:rPr>
        <w:t xml:space="preserve">Em contraste, a teoria bioecológica (TBDH) preconiza que as relações </w:t>
      </w:r>
      <w:r>
        <w:t>indivíduo-ambiente</w:t>
      </w:r>
      <w:r>
        <w:rPr>
          <w:color w:val="000000"/>
        </w:rPr>
        <w:t xml:space="preserve"> são bidirecionais e interdependentes, sendo assim, tanto os efeitos individuais quanto os contextuais devem ser considerados num contínuo dinâmico e correlato. Ainda é preciso destacar que, para a perspectiva supracitada, crianças e adolescentes são vistos como agentes ativos, que estão constantemente dando significados às suas vivências, bem como estabelecem sentidos pessoais ao ambiente e contextos em que vivem (</w:t>
      </w:r>
      <w:proofErr w:type="spellStart"/>
      <w:r>
        <w:rPr>
          <w:color w:val="000000"/>
        </w:rPr>
        <w:t>Brofenbrenner</w:t>
      </w:r>
      <w:proofErr w:type="spellEnd"/>
      <w:r>
        <w:rPr>
          <w:color w:val="000000"/>
        </w:rPr>
        <w:t xml:space="preserve">, 2011; </w:t>
      </w:r>
      <w:proofErr w:type="spellStart"/>
      <w:r>
        <w:t>Petrucci</w:t>
      </w:r>
      <w:proofErr w:type="spellEnd"/>
      <w:r>
        <w:t xml:space="preserve"> et al., 2016</w:t>
      </w:r>
      <w:r>
        <w:rPr>
          <w:color w:val="000000"/>
        </w:rPr>
        <w:t>).</w:t>
      </w:r>
    </w:p>
    <w:p w14:paraId="501896E9" w14:textId="77777777" w:rsidR="00C33A41" w:rsidRDefault="007B3952">
      <w:pPr>
        <w:ind w:firstLine="708"/>
        <w:rPr>
          <w:color w:val="000000"/>
        </w:rPr>
      </w:pPr>
      <w:r>
        <w:rPr>
          <w:color w:val="000000"/>
        </w:rPr>
        <w:t>Entende-se que analisar o projeto de vida na adolescência a partir da TBDH pode contribuir para a construção de modelos interventivos que colaborem para o estabelecimento de projeções</w:t>
      </w:r>
      <w:r>
        <w:t xml:space="preserve"> </w:t>
      </w:r>
      <w:r>
        <w:rPr>
          <w:color w:val="000000"/>
        </w:rPr>
        <w:t xml:space="preserve">futuras para adolescentes, uma vez que os projetos de vida </w:t>
      </w:r>
      <w:r>
        <w:rPr>
          <w:color w:val="000000"/>
        </w:rPr>
        <w:lastRenderedPageBreak/>
        <w:t>se associam aos</w:t>
      </w:r>
      <w:r>
        <w:t xml:space="preserve"> </w:t>
      </w:r>
      <w:r>
        <w:rPr>
          <w:color w:val="000000"/>
        </w:rPr>
        <w:t>contextos e</w:t>
      </w:r>
      <w:r>
        <w:t xml:space="preserve"> </w:t>
      </w:r>
      <w:r>
        <w:rPr>
          <w:color w:val="000000"/>
        </w:rPr>
        <w:t>processos nos quais os adolescentes estão inseridos (</w:t>
      </w:r>
      <w:proofErr w:type="spellStart"/>
      <w:r>
        <w:rPr>
          <w:color w:val="000000"/>
        </w:rPr>
        <w:t>Coscioni</w:t>
      </w:r>
      <w:proofErr w:type="spellEnd"/>
      <w:r>
        <w:rPr>
          <w:color w:val="000000"/>
        </w:rPr>
        <w:t>, 2017). Desse modo, para</w:t>
      </w:r>
      <w:r>
        <w:t xml:space="preserve"> compreender</w:t>
      </w:r>
      <w:r>
        <w:rPr>
          <w:color w:val="000000"/>
        </w:rPr>
        <w:t xml:space="preserve"> assertivamente sua elaboração, manutenção ou enfraquecimento, é importante analisar os sistemas ambientais (microssistema, mesossistema, exossistema e macrossistema) da vida do indivíduo, incluindo dos adolescentes com histórico de exclusão social.</w:t>
      </w:r>
    </w:p>
    <w:p w14:paraId="5A62519E" w14:textId="77777777" w:rsidR="00C33A41" w:rsidRDefault="007B3952">
      <w:pPr>
        <w:ind w:firstLine="708"/>
      </w:pPr>
      <w:r>
        <w:t>Com relação aos projetos de vida de adolescentes que cometeram atos infracionais, é importante pontuar o contexto social no qual estes encontram-se inseridos. O Levantamento Anual do Sinase (Brasil, 2019) indicou que a maior parte dos atos infracionais praticados por jovens brasileiros são relacionados a roubos (38,1%) e tráfico de drogas (26,5%). A socialização desses adolescentes, frequentemente, é resultado de uma interação complexa de fatores como pobreza, ausência de perspectivas de ascensão social, desorganização comunitária, trabalho informal, exposição a violências, entre outros. Dessa forma, o envolvimento em atos ilícitos envolve fatores subjetivos, mas principalmente, aspectos econômicos e sociais (</w:t>
      </w:r>
      <w:proofErr w:type="spellStart"/>
      <w:r>
        <w:t>Coscioni</w:t>
      </w:r>
      <w:proofErr w:type="spellEnd"/>
      <w:r>
        <w:t xml:space="preserve"> et al., 2019).</w:t>
      </w:r>
    </w:p>
    <w:p w14:paraId="08E20699" w14:textId="77777777" w:rsidR="00C33A41" w:rsidRDefault="007B3952">
      <w:pPr>
        <w:ind w:firstLine="708"/>
      </w:pPr>
      <w:r>
        <w:t xml:space="preserve">No estudo de </w:t>
      </w:r>
      <w:proofErr w:type="spellStart"/>
      <w:r>
        <w:t>Coscioni</w:t>
      </w:r>
      <w:proofErr w:type="spellEnd"/>
      <w:r>
        <w:t xml:space="preserve"> et al. (2019), realizado com adolescentes em internação do Espírito Santo e do Rio Grande do Sul, verificou-se que os participantes relataram vivências de privação de recursos antes do envolvimento em atos ilícitos e o tráfico de drogas acabou sendo a alternativa diante da dificuldade de inserção no mercado de trabalho, por exemplo. Além disso, o tráfico também possibilitava recursos simbólicos aos adolescentes, ao promover uma perspectiva de carreira, ainda que dentro da criminalidade, assim como o desenvolvimento de uma identidade pessoal devido ao reconhecimento e pertencimento social, o que se assemelha aos resultados da pesquisa de Pessoa et al. (2018). </w:t>
      </w:r>
    </w:p>
    <w:p w14:paraId="6223DA25" w14:textId="77777777" w:rsidR="00C33A41" w:rsidRDefault="007B3952">
      <w:pPr>
        <w:ind w:firstLine="708"/>
      </w:pPr>
      <w:r>
        <w:t xml:space="preserve">O estudo de </w:t>
      </w:r>
      <w:proofErr w:type="spellStart"/>
      <w:r>
        <w:t>Coscioni</w:t>
      </w:r>
      <w:proofErr w:type="spellEnd"/>
      <w:r>
        <w:t xml:space="preserve"> et al. (2018) também verificou duas tendências de projetos de vida de adolescentes em MSE de internação: a primeira, relacionada a aspectos </w:t>
      </w:r>
      <w:r>
        <w:lastRenderedPageBreak/>
        <w:t xml:space="preserve">socialmente esperados, como educação, família e trabalho; o segundo, com expectativas direcionadas à continuidade de práticas infracionais. O destaque, entretanto, é para o sentido de ação que esses adolescentes têm com seus projetos. Os adolescentes do primeiro grupo, embora demonstrassem expectativas futuras socialmente esperadas, não tinham um sentido de ação em busca dessas metas. Já os adolescentes com expectativas que envolvem infrações apresentavam claramente um sentido de ação, o seja, sabiam indicar o </w:t>
      </w:r>
      <w:r>
        <w:rPr>
          <w:highlight w:val="white"/>
        </w:rPr>
        <w:t>meio pelo qual intentavam atingir tais aspirações</w:t>
      </w:r>
      <w:r>
        <w:t xml:space="preserve">. O estudo também verificou a relação dos projetos futuros com aspectos contextuais e características pessoais, que corroboram o estudo de </w:t>
      </w:r>
      <w:proofErr w:type="spellStart"/>
      <w:r>
        <w:t>Coscioni</w:t>
      </w:r>
      <w:proofErr w:type="spellEnd"/>
      <w:r>
        <w:t xml:space="preserve"> et al. (2018). </w:t>
      </w:r>
    </w:p>
    <w:p w14:paraId="1474B0FC" w14:textId="77777777" w:rsidR="00C33A41" w:rsidRDefault="007B3952">
      <w:pPr>
        <w:ind w:firstLine="708"/>
      </w:pPr>
      <w:r>
        <w:t xml:space="preserve">Com relação a literatura sobre projetos de vida de adolescentes envolvidos em atos infracionais e a pandemia do Covid-19, verificou-se, por meio de uma busca não sistematizada em periódicos nacionais e internacionais, que não existem estudos publicados articulando diretamente tais temas. Isso pode ser resultado de a pandemia ser um fenômeno recente e, portanto, pesquisas ainda podem estar sendo realizadas ou ainda não foram publicadas. De acordo com Li et al. (2023), no momento, a maior parte dos estudos tem se centrado em analisar se a pandemia trouxe mudanças nas taxas e nos tipos de infrações cometidas por adolescentes em comparação com o período anterior ao fenômeno sanitário. </w:t>
      </w:r>
    </w:p>
    <w:p w14:paraId="5BB66A78" w14:textId="77777777" w:rsidR="00C33A41" w:rsidRDefault="007B3952">
      <w:pPr>
        <w:ind w:firstLine="708"/>
      </w:pPr>
      <w:r>
        <w:t xml:space="preserve">Além disso, estudos sobre o mesmo tema foram encontrados quando investigado em outros população, ainda que em uma quantidade baixa. Entre essas pesquisas com outros grupos observa-se um foco mais acentuado em pesquisas com estudantes do ensino médio, universitários e jovens adultos, que articulam o impacto da pandemia nos projetos de vida a partir da variável de formação educacional (Bomfim &amp; </w:t>
      </w:r>
      <w:proofErr w:type="spellStart"/>
      <w:r>
        <w:t>Suzart</w:t>
      </w:r>
      <w:proofErr w:type="spellEnd"/>
      <w:r>
        <w:t xml:space="preserve">, 2021; Fonseca, 2021; </w:t>
      </w:r>
      <w:r>
        <w:rPr>
          <w:highlight w:val="white"/>
        </w:rPr>
        <w:t>Santos &amp; Oliveira, 2021</w:t>
      </w:r>
      <w:r>
        <w:t xml:space="preserve">). Entretanto, com adolescentes envolvidos em atos infracionais os estudos são inexistentes até o momento, podendo indicar, inclusive, uma </w:t>
      </w:r>
      <w:r>
        <w:lastRenderedPageBreak/>
        <w:t xml:space="preserve">marginalização acadêmica por investigações voltadas a um público que já vivenciava uma situação peculiar de desenvolvimento e vulnerabilidade durante o contexto de pandemia. </w:t>
      </w:r>
    </w:p>
    <w:p w14:paraId="001F5CE8" w14:textId="77777777" w:rsidR="00C33A41" w:rsidRDefault="007B3952">
      <w:r>
        <w:tab/>
        <w:t xml:space="preserve">Considerando o aporte teórico, o presente estudo teve como objetivo </w:t>
      </w:r>
      <w:r>
        <w:rPr>
          <w:highlight w:val="white"/>
        </w:rPr>
        <w:t xml:space="preserve">verificar as influências e alterações do contexto pandêmico nos projetos de vida e expectativas futuras de adolescentes em cumprimento de medida de internação no Brasil. </w:t>
      </w:r>
    </w:p>
    <w:p w14:paraId="4E3BE58E" w14:textId="77777777" w:rsidR="00C33A41" w:rsidRDefault="00C33A41"/>
    <w:p w14:paraId="6AE2580B" w14:textId="77777777" w:rsidR="00C33A41" w:rsidRDefault="007B3952">
      <w:pPr>
        <w:pStyle w:val="Ttulo2"/>
      </w:pPr>
      <w:bookmarkStart w:id="53" w:name="_heading=h.1664s55" w:colFirst="0" w:colLast="0"/>
      <w:bookmarkEnd w:id="53"/>
      <w:r>
        <w:t>2. Dialogando com os dados</w:t>
      </w:r>
    </w:p>
    <w:p w14:paraId="085895F6" w14:textId="77777777" w:rsidR="00C33A41" w:rsidRDefault="007B3952">
      <w:pPr>
        <w:ind w:firstLine="720"/>
      </w:pPr>
      <w:r>
        <w:rPr>
          <w:highlight w:val="white"/>
        </w:rPr>
        <w:t xml:space="preserve">Neste capítulo, considerando os dados do Questionário de Projetos de Vida e das entrevistas semiestruturadas (ver Capítulo 2), identificou-se </w:t>
      </w:r>
      <w:r>
        <w:t xml:space="preserve">dois temas centrais </w:t>
      </w:r>
      <w:r>
        <w:rPr>
          <w:highlight w:val="white"/>
        </w:rPr>
        <w:t xml:space="preserve">sobre as </w:t>
      </w:r>
      <w:r>
        <w:t>percepções acerca</w:t>
      </w:r>
      <w:r>
        <w:rPr>
          <w:highlight w:val="white"/>
        </w:rPr>
        <w:t xml:space="preserve"> dos projetos de vida dos adolescentes em cumprimento de medida socioeducativa de internação durante a pandemia do Covid-19. Foi </w:t>
      </w:r>
      <w:r>
        <w:t>realizada, através do questionário supracitado, a caracterização geral da percepção de projetos de vida dos adolescentes privados de liberdade. Complementarmente, por intermédio da Análise Temática empregada nos dados provenientes das entrevistas, verificou-se que os projetos de vida dos adolescentes se mantiveram mesmo diante do contexto pandêmico. Na última temática discute-se como a falta de trabalho e a alta nas taxas de desemprego durante a pandemia constitui-se como como um dificultador de projetos de vida, de acordo com os adolescentes que participaram do estudo empírico.</w:t>
      </w:r>
    </w:p>
    <w:p w14:paraId="497DAA80" w14:textId="77777777" w:rsidR="00C33A41" w:rsidRDefault="00C33A41"/>
    <w:p w14:paraId="7502C9D0" w14:textId="77777777" w:rsidR="00C33A41" w:rsidRDefault="007B3952">
      <w:pPr>
        <w:pStyle w:val="Ttulo3"/>
      </w:pPr>
      <w:bookmarkStart w:id="54" w:name="_heading=h.3q5sasy" w:colFirst="0" w:colLast="0"/>
      <w:bookmarkEnd w:id="54"/>
      <w:r>
        <w:t>2.1 Caracterização geral da percepção de projeto de vida de adolescentes privados de liberdade</w:t>
      </w:r>
    </w:p>
    <w:p w14:paraId="07051E30" w14:textId="77777777" w:rsidR="00C33A41" w:rsidRDefault="007B3952">
      <w:pPr>
        <w:ind w:firstLine="708"/>
      </w:pPr>
      <w:r>
        <w:t xml:space="preserve">Inicialmente, é preciso reforçar que os dados da presente Tese são um recorte de uma pesquisa nacional mais ampla, de modo que apenas os dados de um contexto (MSE de internação) foram analisados. Devido ao baixo número de participantes, dada a natureza da investigação, os dados do Questionário não foram submetidos a análises de </w:t>
      </w:r>
      <w:r>
        <w:lastRenderedPageBreak/>
        <w:t xml:space="preserve">correlação. Optou-se por organizar, de forma descritiva, a frequência de respostas obtidas em cada um dos fatores presentes na escala. </w:t>
      </w:r>
    </w:p>
    <w:p w14:paraId="6A63C105" w14:textId="77777777" w:rsidR="00C33A41" w:rsidRDefault="007B3952">
      <w:pPr>
        <w:ind w:firstLine="708"/>
      </w:pPr>
      <w:r>
        <w:t xml:space="preserve">O Gráfico 1 apresenta a síntese dos dois fatores do Questionário de Projetos de Vida. O primeiro fator é relacionado à </w:t>
      </w:r>
      <w:r>
        <w:rPr>
          <w:i/>
        </w:rPr>
        <w:t xml:space="preserve">Identificação </w:t>
      </w:r>
      <w:r>
        <w:t xml:space="preserve">de metas, ou seja, considera a clareza a respeito do futuro intencionado. Os quatro itens (1, 3, 5 e 7) correspondentes a esse fator são afirmativas que verificam, consecutivamente, o quanto o participante considera saber o que quer para a vida no futuro, ter objetivos claros para o que quer alcançar, ter ideia sobre a pessoa que quer ser futuramente e já ter decidido o que fazer com a vida no futuro. </w:t>
      </w:r>
    </w:p>
    <w:p w14:paraId="0FF0D5C1" w14:textId="77777777" w:rsidR="00C33A41" w:rsidRDefault="007B3952">
      <w:pPr>
        <w:ind w:firstLine="708"/>
      </w:pPr>
      <w:r>
        <w:t xml:space="preserve">Já o segundo fator da escala considera o </w:t>
      </w:r>
      <w:r>
        <w:rPr>
          <w:i/>
        </w:rPr>
        <w:t>Envolvimento</w:t>
      </w:r>
      <w:r>
        <w:t xml:space="preserve">, ou seja, avalia se os projetos de vida identificados pelos participantes mobilizam ações no presente, em outras palavras, se os participantes consideram já estar, no momento atual, realizando ações que possibilitarão o alcance das metas futuras. Os quatro itens (2, 4, 6 e 8) correspondentes a esse fator possui afirmativas que verificam se os participantes têm investido tempo em ações relacionados aos seus objetivos futuros, se estão se esforçando para alcançar as metas que deseja, se já começaram a pôr em prática seus planos e se, no presente, já estão envolvidos em atividades que podem auxiliar no alcance dos objetivos futuros. Destaca-se que no Gráfico 1 consta a frequência em que os adolescentes citaram os pontos da escala likert do instrumento, que considera o quanto eles concordam ou discordam dessas afirmativas. </w:t>
      </w:r>
    </w:p>
    <w:p w14:paraId="25450709" w14:textId="77777777" w:rsidR="00C33A41" w:rsidRDefault="00C33A41">
      <w:pPr>
        <w:ind w:firstLine="708"/>
      </w:pPr>
    </w:p>
    <w:p w14:paraId="642BA767" w14:textId="77777777" w:rsidR="00C33A41" w:rsidRDefault="007B3952">
      <w:bookmarkStart w:id="55" w:name="_heading=h.25b2l0r" w:colFirst="0" w:colLast="0"/>
      <w:bookmarkEnd w:id="55"/>
      <w:r>
        <w:lastRenderedPageBreak/>
        <w:t xml:space="preserve">Gráfico 1. </w:t>
      </w:r>
      <w:r>
        <w:rPr>
          <w:i/>
        </w:rPr>
        <w:t>Síntese dos Fatores Identificação e Envolvimento do Questionário de Projetos de vida</w:t>
      </w:r>
      <w:r>
        <w:rPr>
          <w:noProof/>
        </w:rPr>
        <w:drawing>
          <wp:anchor distT="0" distB="0" distL="114300" distR="114300" simplePos="0" relativeHeight="251660288" behindDoc="0" locked="0" layoutInCell="1" hidden="0" allowOverlap="1" wp14:anchorId="7544C488" wp14:editId="6A347E3B">
            <wp:simplePos x="0" y="0"/>
            <wp:positionH relativeFrom="column">
              <wp:posOffset>37466</wp:posOffset>
            </wp:positionH>
            <wp:positionV relativeFrom="paragraph">
              <wp:posOffset>3923030</wp:posOffset>
            </wp:positionV>
            <wp:extent cx="5391150" cy="2867025"/>
            <wp:effectExtent l="0" t="0" r="0" b="0"/>
            <wp:wrapSquare wrapText="bothSides" distT="0" distB="0" distL="114300" distR="114300"/>
            <wp:docPr id="39" name="Gráfico 3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79C21107" w14:textId="77777777" w:rsidR="00C33A41" w:rsidRDefault="007B3952">
      <w:r>
        <w:t>Fonte: pesquisa de campo (2023)</w:t>
      </w:r>
      <w:r>
        <w:rPr>
          <w:noProof/>
        </w:rPr>
        <w:drawing>
          <wp:anchor distT="0" distB="0" distL="114300" distR="114300" simplePos="0" relativeHeight="251661312" behindDoc="0" locked="0" layoutInCell="1" hidden="0" allowOverlap="1" wp14:anchorId="7ADB7BC4" wp14:editId="51280257">
            <wp:simplePos x="0" y="0"/>
            <wp:positionH relativeFrom="column">
              <wp:posOffset>47626</wp:posOffset>
            </wp:positionH>
            <wp:positionV relativeFrom="paragraph">
              <wp:posOffset>0</wp:posOffset>
            </wp:positionV>
            <wp:extent cx="5391150" cy="3223895"/>
            <wp:effectExtent l="0" t="0" r="0" b="0"/>
            <wp:wrapTopAndBottom distT="0" distB="0"/>
            <wp:docPr id="41" name="Gráfico 4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14:paraId="251427FD" w14:textId="77777777" w:rsidR="00C33A41" w:rsidRDefault="00C33A41">
      <w:pPr>
        <w:ind w:firstLine="708"/>
      </w:pPr>
    </w:p>
    <w:p w14:paraId="114EE4B6" w14:textId="77777777" w:rsidR="00C33A41" w:rsidRDefault="007B3952">
      <w:pPr>
        <w:ind w:firstLine="708"/>
      </w:pPr>
      <w:r>
        <w:t xml:space="preserve">Observa-se que os adolescentes indicaram com uma frequência maior os pontos </w:t>
      </w:r>
      <w:r>
        <w:rPr>
          <w:i/>
        </w:rPr>
        <w:t>Concordo</w:t>
      </w:r>
      <w:r>
        <w:t xml:space="preserve"> e </w:t>
      </w:r>
      <w:r>
        <w:rPr>
          <w:i/>
        </w:rPr>
        <w:t>Concordo totalmente</w:t>
      </w:r>
      <w:r>
        <w:t xml:space="preserve"> da escala likert em ambos os fatores. Portanto, no que se refere ao primeiro fator, ao refletirem sobre as afirmativas que questionam a identificação de metas e expectativas, os participantes podem ter a percepção de que, na </w:t>
      </w:r>
      <w:r>
        <w:lastRenderedPageBreak/>
        <w:t xml:space="preserve">maioria das vezes, sabem o que querem para o futuro. No caso de adolescentes que cometeram atos infracionais, a identificação de projetos de vida pode ser vista como um fator protetivo, pois seu desenvolvimento pode diminuir comportamentos autodestrutivos, promover atitudes mais positivas frente a vida, distanciar do uso abusivo de substâncias psicoativas, entre outros (Damon, 2009; </w:t>
      </w:r>
      <w:proofErr w:type="spellStart"/>
      <w:r>
        <w:t>Dellazzana</w:t>
      </w:r>
      <w:proofErr w:type="spellEnd"/>
      <w:r>
        <w:t>-Zanon &amp; Freitas, 2015).</w:t>
      </w:r>
    </w:p>
    <w:p w14:paraId="1AA8DEC1" w14:textId="77777777" w:rsidR="00C33A41" w:rsidRDefault="007B3952">
      <w:pPr>
        <w:ind w:firstLine="708"/>
      </w:pPr>
      <w:r>
        <w:t xml:space="preserve">No entanto, é importante pontuar que a MSE só conseguirá auxiliar na elaboração de projetos de vida se levar em consideração as necessidades e demandas dos próprios adolescentes. Para isso, deve avaliar as condições reais de reinserção social, promovendo condições para que ela aconteça e esteja articulada com expectativas futuras saudáveis (Silveira et al., 2015). É importante que os profissionais atuantes na socioeducação conheçam aspectos de desenvolvimento que podem influenciar nessas condições. Por exemplo, considerando os pressupostos da TBDH, as demandas (raça, cor, acesso a recursos básico como moradia e educação) relacionadas à </w:t>
      </w:r>
      <w:r>
        <w:rPr>
          <w:i/>
        </w:rPr>
        <w:t>Pessoa</w:t>
      </w:r>
      <w:r>
        <w:t>, podem atravessar o envolvimento e a trajetória dos adolescentes em diferentes contextos (</w:t>
      </w:r>
      <w:proofErr w:type="spellStart"/>
      <w:r>
        <w:t>Tudge</w:t>
      </w:r>
      <w:proofErr w:type="spellEnd"/>
      <w:r>
        <w:t xml:space="preserve">, 2012) e, consequentemente, nos projetos de vida. </w:t>
      </w:r>
    </w:p>
    <w:p w14:paraId="5B765446" w14:textId="77777777" w:rsidR="00C33A41" w:rsidRDefault="007B3952">
      <w:pPr>
        <w:pBdr>
          <w:top w:val="nil"/>
          <w:left w:val="nil"/>
          <w:bottom w:val="nil"/>
          <w:right w:val="nil"/>
          <w:between w:val="nil"/>
        </w:pBdr>
        <w:ind w:firstLine="708"/>
        <w:rPr>
          <w:rFonts w:ascii="Arial" w:eastAsia="Arial" w:hAnsi="Arial" w:cs="Arial"/>
          <w:color w:val="000000"/>
          <w:sz w:val="20"/>
          <w:szCs w:val="20"/>
        </w:rPr>
      </w:pPr>
      <w:r>
        <w:rPr>
          <w:rFonts w:eastAsia="Times New Roman" w:cs="Times New Roman"/>
          <w:color w:val="000000"/>
        </w:rPr>
        <w:t xml:space="preserve">Considerando a caracterização dos participantes, em que mais de 70% são negro e mais de 80% não completaram o ensino médio, é preciso questionar de que forma esses jovens encontrarão condições reais de efetivar essas metas identificadas dentro dos seus contextos ecológicos de desenvolvimento. Dessa forma, mesmo esses adolescentes indicando "saberem o que querem para o futuro", de acordo com o Fator 1 do questionário, é necessário considerar o quanto tais projetos podem ser inatingíveis, tendo em vista que eles são continuamente excluídos, ao ponto de sequer conseguirem se escolarizar dentro de um modelo de sociedade que hipervaloriza os processos de educação formal. Além disso, frustrações contínuas na obtenção dos projetos de vida podem gerar </w:t>
      </w:r>
      <w:r>
        <w:rPr>
          <w:rFonts w:eastAsia="Times New Roman" w:cs="Times New Roman"/>
          <w:color w:val="000000"/>
        </w:rPr>
        <w:lastRenderedPageBreak/>
        <w:t xml:space="preserve">desesperança e estimular a retomada das atividades ilícitas (Pessoa, 2015), seja na adolescência ou na vida adulta. </w:t>
      </w:r>
    </w:p>
    <w:p w14:paraId="658BEA2D" w14:textId="77777777" w:rsidR="00C33A41" w:rsidRDefault="007B3952">
      <w:pPr>
        <w:ind w:firstLine="708"/>
      </w:pPr>
      <w:r>
        <w:t xml:space="preserve">No segundo Fator (envolvimento), novamente observou-se que os adolescentes selecionaram, com maior frequência, os pontos em que </w:t>
      </w:r>
      <w:r>
        <w:rPr>
          <w:i/>
        </w:rPr>
        <w:t>concordam</w:t>
      </w:r>
      <w:r>
        <w:t xml:space="preserve"> ou </w:t>
      </w:r>
      <w:r>
        <w:rPr>
          <w:i/>
        </w:rPr>
        <w:t>concordam totalmente</w:t>
      </w:r>
      <w:r>
        <w:t xml:space="preserve"> com as afirmativas do questionário. Assim como no fator de identificação, isso pode indicar que eles se percebem, geralmente, engajados em ações que possibilitarão o alcance das metas e objetivos desejados para seu futuro. </w:t>
      </w:r>
      <w:proofErr w:type="spellStart"/>
      <w:r>
        <w:t>Coscioni</w:t>
      </w:r>
      <w:proofErr w:type="spellEnd"/>
      <w:r>
        <w:t xml:space="preserve"> (2017) chama a atenção para a falta de importância que esse fator tem recebido nos trabalhos que abordam projetos de vida de adolescentes e a falha que pode ser para a efetivação deles. </w:t>
      </w:r>
    </w:p>
    <w:p w14:paraId="43A3BE01" w14:textId="77777777" w:rsidR="00C33A41" w:rsidRDefault="007B3952">
      <w:pPr>
        <w:ind w:firstLine="708"/>
      </w:pPr>
      <w:r>
        <w:t>Considerando que os projetos de vida precisam conter uma buscar intencional por transforma a realidade (Marcelino et al., 2009), é necessário que os adolescentes efetivamente se envolvam em ações no momento presente que possibilitem essa transformação no futuro. Por isso, é essencial que os projetos delimitados também apresentem a direção por meio da qual se pretende alcançar as metas traçadas e promover tais mudanças em suas realidades (</w:t>
      </w:r>
      <w:proofErr w:type="spellStart"/>
      <w:r>
        <w:t>Coscioni</w:t>
      </w:r>
      <w:proofErr w:type="spellEnd"/>
      <w:r>
        <w:t xml:space="preserve">, 2017), o que está relacionado com o segundo fator do questionário. </w:t>
      </w:r>
    </w:p>
    <w:p w14:paraId="7BBCF74A" w14:textId="77777777" w:rsidR="00C33A41" w:rsidRDefault="007B3952">
      <w:pPr>
        <w:ind w:firstLine="708"/>
      </w:pPr>
      <w:r>
        <w:t xml:space="preserve">O envolvimento nas ações voltadas aos projetos de vida pode ter as </w:t>
      </w:r>
      <w:r>
        <w:rPr>
          <w:i/>
        </w:rPr>
        <w:t>características de força</w:t>
      </w:r>
      <w:r>
        <w:t xml:space="preserve">, também relacionado ao conceito de </w:t>
      </w:r>
      <w:r>
        <w:rPr>
          <w:i/>
        </w:rPr>
        <w:t>Pessoa</w:t>
      </w:r>
      <w:r>
        <w:t xml:space="preserve"> da TBDH. Engajar-se em atividade, seja sozinho ou com outras pessoas, é considerado uma característica geradora e, portanto, tem a capacidade de manter ou sustentar processos proximais durante o desenvolvimento (Bronfenbrenner &amp; Morris, 1998). Portanto, o envolvimento é essencial para a promoção dos projetos de vida, mas ainda é preciso considerar se os participantes estão, de fato, se envolvendo em ações que os levem ao alcance das metas futuras ou se apenas relataram uma percepção distorcida do que é considerado envolvimento.</w:t>
      </w:r>
    </w:p>
    <w:p w14:paraId="1B67C44D" w14:textId="77777777" w:rsidR="00C33A41" w:rsidRDefault="007B3952">
      <w:pPr>
        <w:ind w:firstLine="708"/>
      </w:pPr>
      <w:r>
        <w:lastRenderedPageBreak/>
        <w:t>Os dados da primeira etapa do questionário também foram sintetizados e tematizados. Os adolescentes escreveram as metas que possuem em relação aos seus projetos de vida e indicaram a idade que acreditavam que teriam para atingi-las. A Tabela 3 apresenta a análise dos temas mais citados pelos adolescentes no preenchimento do instrumento. Foram identificados cinco temas principais relacionados aos projetos de vida dos adolescentes, de forma que a Tabela apresenta uma explicação do conteúdo de cada tema, bem como exemplos de metas indicadas pelos adolescentes no preenchimento do questionário.</w:t>
      </w:r>
    </w:p>
    <w:p w14:paraId="76E27F88" w14:textId="77777777" w:rsidR="00C33A41" w:rsidRDefault="00C33A41"/>
    <w:p w14:paraId="6A438222" w14:textId="77777777" w:rsidR="00C33A41" w:rsidRDefault="007B3952">
      <w:pPr>
        <w:rPr>
          <w:i/>
        </w:rPr>
      </w:pPr>
      <w:r>
        <w:t xml:space="preserve">Tabela 3. </w:t>
      </w:r>
      <w:r>
        <w:rPr>
          <w:i/>
        </w:rPr>
        <w:t>Tematização das metas do Questionário de Projetos de Vida</w:t>
      </w:r>
    </w:p>
    <w:tbl>
      <w:tblPr>
        <w:tblStyle w:val="af3"/>
        <w:tblW w:w="10348" w:type="dxa"/>
        <w:tblInd w:w="-572"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701"/>
        <w:gridCol w:w="5670"/>
        <w:gridCol w:w="2977"/>
      </w:tblGrid>
      <w:tr w:rsidR="00C33A41" w14:paraId="329292E2" w14:textId="77777777">
        <w:tc>
          <w:tcPr>
            <w:tcW w:w="1701" w:type="dxa"/>
            <w:tcBorders>
              <w:bottom w:val="single" w:sz="4" w:space="0" w:color="000000"/>
            </w:tcBorders>
            <w:vAlign w:val="center"/>
          </w:tcPr>
          <w:p w14:paraId="3AE44A9D" w14:textId="77777777" w:rsidR="00C33A41" w:rsidRDefault="007B3952">
            <w:pPr>
              <w:tabs>
                <w:tab w:val="left" w:pos="1350"/>
              </w:tabs>
              <w:ind w:firstLine="0"/>
              <w:jc w:val="center"/>
              <w:rPr>
                <w:b/>
              </w:rPr>
            </w:pPr>
            <w:r>
              <w:rPr>
                <w:b/>
              </w:rPr>
              <w:t>Conteúdo das metas</w:t>
            </w:r>
          </w:p>
        </w:tc>
        <w:tc>
          <w:tcPr>
            <w:tcW w:w="5670" w:type="dxa"/>
            <w:vAlign w:val="center"/>
          </w:tcPr>
          <w:p w14:paraId="630F30F7" w14:textId="77777777" w:rsidR="00C33A41" w:rsidRDefault="007B3952">
            <w:pPr>
              <w:jc w:val="center"/>
              <w:rPr>
                <w:b/>
              </w:rPr>
            </w:pPr>
            <w:r>
              <w:rPr>
                <w:b/>
              </w:rPr>
              <w:t>Explicação do conteúdo</w:t>
            </w:r>
          </w:p>
        </w:tc>
        <w:tc>
          <w:tcPr>
            <w:tcW w:w="2977" w:type="dxa"/>
            <w:vAlign w:val="center"/>
          </w:tcPr>
          <w:p w14:paraId="58D65BF4" w14:textId="77777777" w:rsidR="00C33A41" w:rsidRDefault="007B3952">
            <w:pPr>
              <w:ind w:firstLine="0"/>
              <w:jc w:val="center"/>
              <w:rPr>
                <w:b/>
              </w:rPr>
            </w:pPr>
            <w:r>
              <w:rPr>
                <w:b/>
              </w:rPr>
              <w:t>Exemplos de metas descritas</w:t>
            </w:r>
          </w:p>
        </w:tc>
      </w:tr>
      <w:tr w:rsidR="00C33A41" w14:paraId="6C315928" w14:textId="77777777">
        <w:tc>
          <w:tcPr>
            <w:tcW w:w="1701" w:type="dxa"/>
            <w:tcBorders>
              <w:bottom w:val="nil"/>
            </w:tcBorders>
            <w:vAlign w:val="center"/>
          </w:tcPr>
          <w:p w14:paraId="3C19A984" w14:textId="77777777" w:rsidR="00C33A41" w:rsidRDefault="007B3952">
            <w:pPr>
              <w:ind w:firstLine="0"/>
              <w:jc w:val="center"/>
            </w:pPr>
            <w:r>
              <w:t>Trabalho/ Profissão</w:t>
            </w:r>
          </w:p>
        </w:tc>
        <w:tc>
          <w:tcPr>
            <w:tcW w:w="5670" w:type="dxa"/>
            <w:vAlign w:val="center"/>
          </w:tcPr>
          <w:p w14:paraId="3F88F662" w14:textId="77777777" w:rsidR="00C33A41" w:rsidRDefault="00C33A41"/>
          <w:p w14:paraId="0460E7BF" w14:textId="77777777" w:rsidR="00C33A41" w:rsidRDefault="007B3952">
            <w:pPr>
              <w:ind w:firstLine="0"/>
            </w:pPr>
            <w:r>
              <w:t>Relaciona-se com o desejo de reinserção no mercado de trabalho, bem como os tipos de profissões que os mesmos sonham exercem no futuro.</w:t>
            </w:r>
          </w:p>
        </w:tc>
        <w:tc>
          <w:tcPr>
            <w:tcW w:w="2977" w:type="dxa"/>
          </w:tcPr>
          <w:p w14:paraId="14A72B35" w14:textId="77777777" w:rsidR="00C33A41" w:rsidRDefault="007B3952">
            <w:pPr>
              <w:ind w:firstLine="0"/>
            </w:pPr>
            <w:r>
              <w:rPr>
                <w:i/>
              </w:rPr>
              <w:t>“ser profissional em mecânica de motos”; “trabalhar com barbearia”; “ser bombeiro”; “ser caminhoneiro”; “trabalhar vendendo frutas”</w:t>
            </w:r>
          </w:p>
        </w:tc>
      </w:tr>
      <w:tr w:rsidR="00C33A41" w14:paraId="0B5D72E7" w14:textId="77777777">
        <w:tc>
          <w:tcPr>
            <w:tcW w:w="1701" w:type="dxa"/>
            <w:tcBorders>
              <w:top w:val="nil"/>
              <w:bottom w:val="nil"/>
            </w:tcBorders>
            <w:vAlign w:val="center"/>
          </w:tcPr>
          <w:p w14:paraId="3C36499E" w14:textId="77777777" w:rsidR="00C33A41" w:rsidRDefault="007B3952">
            <w:pPr>
              <w:ind w:firstLine="0"/>
              <w:jc w:val="center"/>
            </w:pPr>
            <w:r>
              <w:t>Família</w:t>
            </w:r>
          </w:p>
        </w:tc>
        <w:tc>
          <w:tcPr>
            <w:tcW w:w="5670" w:type="dxa"/>
            <w:vAlign w:val="center"/>
          </w:tcPr>
          <w:p w14:paraId="09B3166E" w14:textId="77777777" w:rsidR="00C33A41" w:rsidRDefault="007B3952">
            <w:pPr>
              <w:ind w:firstLine="0"/>
            </w:pPr>
            <w:r>
              <w:t>Refere-se à construção da sua própria família, ou seja, encontrar uma parceira e ter filhos, estabelecendo uma relação familiar estável.</w:t>
            </w:r>
          </w:p>
        </w:tc>
        <w:tc>
          <w:tcPr>
            <w:tcW w:w="2977" w:type="dxa"/>
          </w:tcPr>
          <w:p w14:paraId="3670403F" w14:textId="77777777" w:rsidR="00C33A41" w:rsidRDefault="007B3952">
            <w:pPr>
              <w:ind w:firstLine="0"/>
            </w:pPr>
            <w:r>
              <w:rPr>
                <w:i/>
              </w:rPr>
              <w:t>“construir família”; “Ter filhos e cuidar muito bem deles”; “ter uma esposa”; “ser pai”</w:t>
            </w:r>
          </w:p>
        </w:tc>
      </w:tr>
      <w:tr w:rsidR="00C33A41" w14:paraId="72F7DF35" w14:textId="77777777">
        <w:tc>
          <w:tcPr>
            <w:tcW w:w="1701" w:type="dxa"/>
            <w:tcBorders>
              <w:top w:val="nil"/>
              <w:bottom w:val="nil"/>
            </w:tcBorders>
            <w:vAlign w:val="center"/>
          </w:tcPr>
          <w:p w14:paraId="1B0DBC5F" w14:textId="77777777" w:rsidR="00C33A41" w:rsidRDefault="007B3952">
            <w:pPr>
              <w:ind w:firstLine="0"/>
              <w:jc w:val="center"/>
            </w:pPr>
            <w:r>
              <w:t>Bens materiais</w:t>
            </w:r>
          </w:p>
        </w:tc>
        <w:tc>
          <w:tcPr>
            <w:tcW w:w="5670" w:type="dxa"/>
            <w:vAlign w:val="center"/>
          </w:tcPr>
          <w:p w14:paraId="790041AE" w14:textId="77777777" w:rsidR="00C33A41" w:rsidRDefault="007B3952">
            <w:pPr>
              <w:ind w:firstLine="0"/>
            </w:pPr>
            <w:r>
              <w:t>Versa sobre as expectativas futuras de aquisição de bens materiais para si próprio, tais como carros, motos e casas.</w:t>
            </w:r>
          </w:p>
        </w:tc>
        <w:tc>
          <w:tcPr>
            <w:tcW w:w="2977" w:type="dxa"/>
          </w:tcPr>
          <w:p w14:paraId="19E4A0C2" w14:textId="77777777" w:rsidR="00C33A41" w:rsidRDefault="007B3952">
            <w:pPr>
              <w:ind w:firstLine="0"/>
            </w:pPr>
            <w:r>
              <w:rPr>
                <w:i/>
              </w:rPr>
              <w:t>“comprar moto”; “ter casa própria”; “ter uma moto ou um carro</w:t>
            </w:r>
            <w:r>
              <w:t>”</w:t>
            </w:r>
          </w:p>
        </w:tc>
      </w:tr>
      <w:tr w:rsidR="00C33A41" w14:paraId="259F8251" w14:textId="77777777">
        <w:tc>
          <w:tcPr>
            <w:tcW w:w="1701" w:type="dxa"/>
            <w:tcBorders>
              <w:top w:val="nil"/>
              <w:bottom w:val="nil"/>
            </w:tcBorders>
            <w:vAlign w:val="center"/>
          </w:tcPr>
          <w:p w14:paraId="2A3ADEF4" w14:textId="77777777" w:rsidR="00C33A41" w:rsidRDefault="007B3952">
            <w:pPr>
              <w:ind w:firstLine="0"/>
              <w:jc w:val="center"/>
            </w:pPr>
            <w:r>
              <w:t>Educação</w:t>
            </w:r>
          </w:p>
        </w:tc>
        <w:tc>
          <w:tcPr>
            <w:tcW w:w="5670" w:type="dxa"/>
            <w:vAlign w:val="center"/>
          </w:tcPr>
          <w:p w14:paraId="2F88034B" w14:textId="77777777" w:rsidR="00C33A41" w:rsidRDefault="00C33A41"/>
          <w:p w14:paraId="0FF3271F" w14:textId="77777777" w:rsidR="00C33A41" w:rsidRDefault="007B3952">
            <w:pPr>
              <w:ind w:firstLine="0"/>
            </w:pPr>
            <w:r>
              <w:t>Trata das metas referentes à conclusão de etapas educacionais, envolvendo concluir o ensino médio, entrar na universidade ou fazer um curso profissionalizante.</w:t>
            </w:r>
          </w:p>
        </w:tc>
        <w:tc>
          <w:tcPr>
            <w:tcW w:w="2977" w:type="dxa"/>
          </w:tcPr>
          <w:p w14:paraId="7E307FB0" w14:textId="77777777" w:rsidR="00C33A41" w:rsidRDefault="007B3952">
            <w:pPr>
              <w:ind w:firstLine="0"/>
            </w:pPr>
            <w:r>
              <w:rPr>
                <w:i/>
              </w:rPr>
              <w:t xml:space="preserve">“terminar os estudos e fazer faculdade; “terminar o ensino fundamental”; “fazer curso de tecnologia ou robótica”; “fazer curso de cabelereiro”; </w:t>
            </w:r>
          </w:p>
        </w:tc>
      </w:tr>
      <w:tr w:rsidR="00C33A41" w14:paraId="006CCD3D" w14:textId="77777777">
        <w:tc>
          <w:tcPr>
            <w:tcW w:w="1701" w:type="dxa"/>
            <w:tcBorders>
              <w:top w:val="nil"/>
            </w:tcBorders>
            <w:vAlign w:val="center"/>
          </w:tcPr>
          <w:p w14:paraId="73572F2B" w14:textId="77777777" w:rsidR="00C33A41" w:rsidRDefault="007B3952">
            <w:pPr>
              <w:ind w:firstLine="0"/>
              <w:jc w:val="center"/>
            </w:pPr>
            <w:r>
              <w:t>Ajudar as mães</w:t>
            </w:r>
          </w:p>
        </w:tc>
        <w:tc>
          <w:tcPr>
            <w:tcW w:w="5670" w:type="dxa"/>
            <w:vAlign w:val="center"/>
          </w:tcPr>
          <w:p w14:paraId="72B98B57" w14:textId="77777777" w:rsidR="00C33A41" w:rsidRDefault="00C33A41"/>
          <w:p w14:paraId="53237912" w14:textId="77777777" w:rsidR="00C33A41" w:rsidRDefault="007B3952">
            <w:pPr>
              <w:ind w:firstLine="0"/>
            </w:pPr>
            <w:r>
              <w:t>Aborda a vontade de auxiliar os familiares, principalmente, a mãe. A ajuda direciona-se a questões financeiras, como dinheiro ou oferecer bens materiais.</w:t>
            </w:r>
          </w:p>
        </w:tc>
        <w:tc>
          <w:tcPr>
            <w:tcW w:w="2977" w:type="dxa"/>
          </w:tcPr>
          <w:p w14:paraId="12E89A1C" w14:textId="77777777" w:rsidR="00C33A41" w:rsidRDefault="007B3952">
            <w:pPr>
              <w:ind w:firstLine="0"/>
            </w:pPr>
            <w:r>
              <w:rPr>
                <w:i/>
              </w:rPr>
              <w:t>“ajudar a mãe a ter uma condição de vida melhor”; “comprar material para construir a casa da minha mãe”; “dar uma casa para a mãe”; “dar boas condições a minha família”</w:t>
            </w:r>
          </w:p>
        </w:tc>
      </w:tr>
    </w:tbl>
    <w:p w14:paraId="690A3EF3" w14:textId="77777777" w:rsidR="00C33A41" w:rsidRDefault="007B3952">
      <w:r>
        <w:lastRenderedPageBreak/>
        <w:t xml:space="preserve">*Destaca-se que cada adolescentes pode ter citado mais de uma meta para o mesmo tema. </w:t>
      </w:r>
    </w:p>
    <w:p w14:paraId="491DED69" w14:textId="77777777" w:rsidR="00C33A41" w:rsidRDefault="00C33A41"/>
    <w:p w14:paraId="1C29A120" w14:textId="77777777" w:rsidR="00C33A41" w:rsidRDefault="007B3952">
      <w:r>
        <w:tab/>
        <w:t xml:space="preserve">A análise das metas permitiu verificar que a maioria dos projetos estão voltados para os temas: trabalho, família e bens materiais. Na sequência, aparecem indicações de expectativas relacionadas à educação e a vontade de ajudar financeiramente a família de origem. Dados semelhantes foram encontrados na pesquisa de Muller et al. (2009), realizada com adolescentes que cumpriam medida de internação no Rio Grande do Sul. Segundo as autoras, 56% dos adolescentes colocaram o trabalho como a meta mais almejada como projeto de vida, principalmente porque muitos deles precisavam ajudar no sustento das famílias. A educação formal também foi indicada por 45% dos participantes como uma perspectiva de futuro, ainda que a maior parte possuísse baixa escolaridade e afastamento das instituições de ensino (Muller et al., 2009). </w:t>
      </w:r>
    </w:p>
    <w:p w14:paraId="04170326" w14:textId="77777777" w:rsidR="00C33A41" w:rsidRDefault="007B3952">
      <w:pPr>
        <w:ind w:firstLine="708"/>
      </w:pPr>
      <w:r>
        <w:t xml:space="preserve">Além disso, notou-se que boa parte das profissões indicadas na temática de trabalho não demandam estudos ou qualificações avançadas e, geralmente, são serviços com um baixo retorno financeiro em termos das médias salariais (o que também se assemelha ao estudo de Muller et al., 2009). Neste sentido, se faz importante refletir que, diante das profissões escolhidas, muitos dos adolescentes podem não conseguir superar as condições socioeconômicas que acentuam seus processos de exclusão social (Silveira et al., 2015). Cabe salientar que, no preenchimento do questionário, os participantes também citaram outras metas, mas que apareceram de forma mais pontual na fala de alguns. Entre essas metas estavam: </w:t>
      </w:r>
      <w:r>
        <w:rPr>
          <w:i/>
        </w:rPr>
        <w:t xml:space="preserve">“morar sozinho”, “tirar habilitação”, “voltar a jogar futebol”, “morar em outro país”, “mostrar para as pessoas sua capacidade de mudança”, “ficar menos na rua”, </w:t>
      </w:r>
      <w:r>
        <w:t>entre outros.</w:t>
      </w:r>
    </w:p>
    <w:p w14:paraId="01E076F7" w14:textId="77777777" w:rsidR="00C33A41" w:rsidRDefault="007B3952">
      <w:r>
        <w:lastRenderedPageBreak/>
        <w:tab/>
        <w:t xml:space="preserve">O Questionário de Projetos de Vida também permitiu verificar a extensão das metas que foram traçadas. De acordo com </w:t>
      </w:r>
      <w:proofErr w:type="spellStart"/>
      <w:r>
        <w:t>Coscioni</w:t>
      </w:r>
      <w:proofErr w:type="spellEnd"/>
      <w:r>
        <w:t xml:space="preserve"> (2021), essa análise é feita considerando a idade que os participantes indicam que almejam alcançar as metas inseridas no instrumento. Esse dado permite avaliar o quão distante no futuro as metas estão situadas na percepção dos respondentes. O Gráfico 3 apresenta a extensão identificada nos adolescentes que participaram da presente pesquisa.</w:t>
      </w:r>
    </w:p>
    <w:p w14:paraId="1B409103" w14:textId="77777777" w:rsidR="00C33A41" w:rsidRDefault="00C33A41"/>
    <w:p w14:paraId="1707EB2C" w14:textId="77777777" w:rsidR="00C33A41" w:rsidRDefault="007B3952">
      <w:pPr>
        <w:rPr>
          <w:i/>
        </w:rPr>
      </w:pPr>
      <w:bookmarkStart w:id="56" w:name="_heading=h.kgcv8k" w:colFirst="0" w:colLast="0"/>
      <w:bookmarkEnd w:id="56"/>
      <w:r>
        <w:t xml:space="preserve">Gráfico 2. </w:t>
      </w:r>
      <w:r>
        <w:rPr>
          <w:i/>
        </w:rPr>
        <w:t xml:space="preserve">Extensão das metas dos adolescentes </w:t>
      </w:r>
    </w:p>
    <w:p w14:paraId="25D5C19D" w14:textId="77777777" w:rsidR="00C33A41" w:rsidRDefault="007B3952">
      <w:r>
        <w:rPr>
          <w:noProof/>
        </w:rPr>
        <w:drawing>
          <wp:inline distT="0" distB="0" distL="0" distR="0" wp14:anchorId="06EEB247" wp14:editId="0E3A0C23">
            <wp:extent cx="5257800" cy="3038475"/>
            <wp:effectExtent l="0" t="0" r="0" b="0"/>
            <wp:docPr id="40" name="Gráfico 4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4717A95" w14:textId="77777777" w:rsidR="00C33A41" w:rsidRDefault="007B3952">
      <w:r>
        <w:t>Fonte: pesquisa de campo (2023)</w:t>
      </w:r>
    </w:p>
    <w:p w14:paraId="607851BC" w14:textId="77777777" w:rsidR="00C33A41" w:rsidRDefault="00C33A41"/>
    <w:p w14:paraId="02E48E90" w14:textId="77777777" w:rsidR="00C33A41" w:rsidRDefault="007B3952">
      <w:pPr>
        <w:ind w:firstLine="708"/>
      </w:pPr>
      <w:r>
        <w:t xml:space="preserve">Como observado, existe uma concentração de delimitação das metas entre os 18 e 21 anos, de forma que as demais idades indicadas foram citadas em uma frequência consideravelmente menor pelos adolescentes. A escala também permitiu verificar que a partir dos 30 anos as metas diminuem consideravelmente e que nenhum dos participantes traçaram metas após os 45 anos de idade. Esse dado pode estar associado a ausência de </w:t>
      </w:r>
      <w:r>
        <w:lastRenderedPageBreak/>
        <w:t xml:space="preserve">perspectiva de vida (cronológica) que, geralmente, os adolescentes envolvidos atos ilícitos possuem (Pereira, 2022; Silva et al., 2020). </w:t>
      </w:r>
    </w:p>
    <w:p w14:paraId="153DE80E" w14:textId="77777777" w:rsidR="00C33A41" w:rsidRDefault="007B3952">
      <w:pPr>
        <w:ind w:firstLine="708"/>
      </w:pPr>
      <w:r>
        <w:t xml:space="preserve">Estudos já identificaram, por exemplo, a mortalidade de adolescentes que estavam ou passaram pelo sistema socioeducativo ou penal (após a maioridade) (Pereira, 2022; Silva et al., 2020). Silva et al. (2020) identificaram uma taxa de mortalidade de 9,5% entre adolescentes egressos das unidades de internação de Porto Alegre. Os adolescentes mortos, geralmente, eram reincidentes do sistema socioeducativo e a taxa era maior entre os apreendidos por tráfico de drogas. Pessoa (2015), em estudo com adolescentes envolvidos no tráfico de drogas, também identificou a citação de morte de pessoas próximas (amigos e parentes) em todas as entrevistas realizadas. </w:t>
      </w:r>
    </w:p>
    <w:p w14:paraId="02FC2E58" w14:textId="77777777" w:rsidR="00C33A41" w:rsidRDefault="007B3952">
      <w:pPr>
        <w:ind w:firstLine="708"/>
      </w:pPr>
      <w:r>
        <w:t xml:space="preserve">Diante dessa realidade, é compreensível a dificuldade dos adolescentes em estabelecerem metas de longo prazo para os seus projetos de vida. Considerando a importância do fator </w:t>
      </w:r>
      <w:r>
        <w:rPr>
          <w:i/>
        </w:rPr>
        <w:t>Tempo</w:t>
      </w:r>
      <w:r>
        <w:t xml:space="preserve"> para o desenvolvimento humano (Bronfenbrenner &amp; Morris, 1998), pode-se analisar que, ao analisarem a realidade atual (</w:t>
      </w:r>
      <w:proofErr w:type="spellStart"/>
      <w:r>
        <w:rPr>
          <w:i/>
        </w:rPr>
        <w:t>microtempo</w:t>
      </w:r>
      <w:proofErr w:type="spellEnd"/>
      <w:r>
        <w:t>), os adolescentes não identificam perspectivas que justifiquem estabelecer projetos de vida em espaços temporais mais amplos (</w:t>
      </w:r>
      <w:proofErr w:type="spellStart"/>
      <w:r>
        <w:rPr>
          <w:i/>
        </w:rPr>
        <w:t>mesotempo</w:t>
      </w:r>
      <w:proofErr w:type="spellEnd"/>
      <w:r>
        <w:t xml:space="preserve">). Além disso, os adolescentes da presente pesquisa vivenciaram inúmeros infortúnios decorrentes da pandemia, que teve um reflexo social de aumento das vulnerabilidades já vivenciadas. Dessa forma, um evento histórico que ocasionou mudanças sociais profundas e que vai se estender ao </w:t>
      </w:r>
      <w:proofErr w:type="spellStart"/>
      <w:r>
        <w:rPr>
          <w:i/>
        </w:rPr>
        <w:t>macrotempo</w:t>
      </w:r>
      <w:proofErr w:type="spellEnd"/>
      <w:r>
        <w:t xml:space="preserve"> também pode ter dificultado o estabelecimento de metas ao longo de um ciclo de vida mais extenso. </w:t>
      </w:r>
    </w:p>
    <w:p w14:paraId="1F8A9480" w14:textId="77777777" w:rsidR="00C33A41" w:rsidRDefault="00C33A41">
      <w:pPr>
        <w:ind w:firstLine="708"/>
      </w:pPr>
    </w:p>
    <w:p w14:paraId="226FC4A0" w14:textId="77777777" w:rsidR="00C33A41" w:rsidRDefault="007B3952">
      <w:pPr>
        <w:pStyle w:val="Ttulo3"/>
      </w:pPr>
      <w:bookmarkStart w:id="57" w:name="_heading=h.34g0dwd" w:colFirst="0" w:colLast="0"/>
      <w:bookmarkEnd w:id="57"/>
      <w:r>
        <w:t>2.2 “Ainda existem sonhos”: Manutenção dos projetos de vida durante a pandemia</w:t>
      </w:r>
    </w:p>
    <w:p w14:paraId="34D6FB9A" w14:textId="77777777" w:rsidR="00C33A41" w:rsidRDefault="007B3952">
      <w:pPr>
        <w:ind w:firstLine="708"/>
      </w:pPr>
      <w:r>
        <w:t xml:space="preserve">Na primeira temática derivada da análise das entrevistas, foram abordadas as perspectivas futuras presentes nos relatos dos adolescentes participantes, bem como os </w:t>
      </w:r>
      <w:r>
        <w:lastRenderedPageBreak/>
        <w:t xml:space="preserve">fatores relacionados às expectativas futuras que foram mantidas, mesmo com os atravessamentos da pandemia do Covid-19. Ao serem questionados se alguma expectativa ou sonho que tinham para o futuro mudou por causa da pandemia, os adolescentes, em sua maioria, relataram que não. Com relação aos anseios futuros, corroborando com os dados obtidos no Questionário de Projetos de Vida, durante as entrevistas os participantes reforçaram que a maior parte dos seus projetos futuros se encontram relacionados à profissão, família e bens materiais. </w:t>
      </w:r>
    </w:p>
    <w:p w14:paraId="367F15BE" w14:textId="77777777" w:rsidR="00C33A41" w:rsidRDefault="007B3952">
      <w:pPr>
        <w:spacing w:line="240" w:lineRule="auto"/>
        <w:ind w:left="1416"/>
        <w:rPr>
          <w:i/>
        </w:rPr>
      </w:pPr>
      <w:r>
        <w:rPr>
          <w:i/>
        </w:rPr>
        <w:t>“Eu sigo pensando no meu sonho. Ter uma casa, ter um trabalho. [...] Eu estava pensando em fazer química. Eu fiz a prova do Encceja [</w:t>
      </w:r>
      <w:r>
        <w:rPr>
          <w:i/>
          <w:highlight w:val="white"/>
          <w:u w:val="single"/>
        </w:rPr>
        <w:t>Exame Nacional para Certificação de Competências de Jovens e Adultos</w:t>
      </w:r>
      <w:r>
        <w:rPr>
          <w:i/>
          <w:highlight w:val="white"/>
        </w:rPr>
        <w:t>]</w:t>
      </w:r>
      <w:r>
        <w:rPr>
          <w:i/>
        </w:rPr>
        <w:t>, vamos ver se eu termino” (José, 17 anos, Porto Nacional)</w:t>
      </w:r>
    </w:p>
    <w:p w14:paraId="4471E8D9" w14:textId="77777777" w:rsidR="00C33A41" w:rsidRDefault="00C33A41">
      <w:pPr>
        <w:spacing w:line="240" w:lineRule="auto"/>
        <w:ind w:left="1416"/>
        <w:rPr>
          <w:i/>
        </w:rPr>
      </w:pPr>
    </w:p>
    <w:p w14:paraId="60FEA9F7" w14:textId="77777777" w:rsidR="00C33A41" w:rsidRDefault="007B3952">
      <w:pPr>
        <w:spacing w:line="240" w:lineRule="auto"/>
        <w:ind w:left="1416"/>
        <w:rPr>
          <w:i/>
        </w:rPr>
      </w:pPr>
      <w:r>
        <w:rPr>
          <w:i/>
        </w:rPr>
        <w:t xml:space="preserve">“[...] eu vejo que não mudou. Porque meu projeto, que eu estava planejando no começo de 2021, era abrir uma sorveteria para mim. Então, eu tinha que obedecer a aquele negócio </w:t>
      </w:r>
      <w:r>
        <w:t>[</w:t>
      </w:r>
      <w:r>
        <w:rPr>
          <w:u w:val="single"/>
        </w:rPr>
        <w:t>isolamento social</w:t>
      </w:r>
      <w:r>
        <w:t>]</w:t>
      </w:r>
      <w:r>
        <w:rPr>
          <w:i/>
        </w:rPr>
        <w:t>, mas não ia me atingir agora. Aí quando eu sair, já vai ter menos esse negócio de covid” (Pedro, 18 anos, Natal)</w:t>
      </w:r>
    </w:p>
    <w:p w14:paraId="24CB6078" w14:textId="77777777" w:rsidR="00C33A41" w:rsidRDefault="00C33A41">
      <w:pPr>
        <w:spacing w:line="240" w:lineRule="auto"/>
        <w:ind w:left="1416"/>
        <w:rPr>
          <w:i/>
        </w:rPr>
      </w:pPr>
    </w:p>
    <w:p w14:paraId="2940991D" w14:textId="77777777" w:rsidR="00C33A41" w:rsidRDefault="007B3952">
      <w:pPr>
        <w:spacing w:line="240" w:lineRule="auto"/>
        <w:ind w:left="1416"/>
        <w:rPr>
          <w:i/>
        </w:rPr>
      </w:pPr>
      <w:r>
        <w:rPr>
          <w:i/>
        </w:rPr>
        <w:t>“Meu sonho sempre foi ter só uma família bem estruturada, ter uma vida estruturada, com trabalho, e esposa, filhos que eu quero ter um dia. Esse é o sonho da minha vida. Ter um bom emprego. Só um sonho que dá para eu alcançar. Então, ainda não mudou” (Igor, 18 anos, São Paulo)</w:t>
      </w:r>
    </w:p>
    <w:p w14:paraId="2E3EA5E2" w14:textId="77777777" w:rsidR="00C33A41" w:rsidRDefault="00C33A41">
      <w:pPr>
        <w:spacing w:line="240" w:lineRule="auto"/>
        <w:ind w:left="1416"/>
        <w:rPr>
          <w:i/>
        </w:rPr>
      </w:pPr>
    </w:p>
    <w:p w14:paraId="346E995B" w14:textId="77777777" w:rsidR="00C33A41" w:rsidRDefault="007B3952">
      <w:pPr>
        <w:spacing w:line="240" w:lineRule="auto"/>
        <w:ind w:left="1416"/>
        <w:rPr>
          <w:i/>
        </w:rPr>
      </w:pPr>
      <w:r>
        <w:rPr>
          <w:i/>
        </w:rPr>
        <w:t>“Ah, meus sonhos ainda estou querendo realizar, né? Tô conseguindo manter. Porque igual a minha família fala, eu sou moleque novo ainda para realizar meu sonho, pela força de vontade minha e eu ia querer também, né?” (Antônio, 17 anos, São Paulo)</w:t>
      </w:r>
    </w:p>
    <w:p w14:paraId="11FE1220" w14:textId="77777777" w:rsidR="00C33A41" w:rsidRDefault="00C33A41">
      <w:pPr>
        <w:spacing w:line="360" w:lineRule="auto"/>
      </w:pPr>
    </w:p>
    <w:p w14:paraId="5B0A15D6" w14:textId="77777777" w:rsidR="00C33A41" w:rsidRDefault="007B3952">
      <w:pPr>
        <w:ind w:firstLine="708"/>
      </w:pPr>
      <w:r>
        <w:t xml:space="preserve">Como demonstraram os relatos da entrevista, ao analisar de maneira mais abrangente os projetos de vida, os adolescentes não perceberam uma mudança significativa nos planos que eles já tinham antes da pandemia. Esses dados vão ao encontro do que foi verificado no Questionário de Projetos de Vida, em que esses jovens indicam que sabem o que querem para o futuro, mesmo após passarem pelo período pandêmico e ter vivenciado suas consequências. Além disso, também corroboram os dados da etapa de identificação de metas do questionário, em que se verificou que os </w:t>
      </w:r>
      <w:r>
        <w:lastRenderedPageBreak/>
        <w:t>planos são, geralmente, voltados para o trabalho/profissão, construção da própria família e acesso a bens materiais (como ter uma casa).</w:t>
      </w:r>
    </w:p>
    <w:p w14:paraId="2CF4A622" w14:textId="77777777" w:rsidR="00C33A41" w:rsidRDefault="007B3952">
      <w:pPr>
        <w:ind w:firstLine="708"/>
      </w:pPr>
      <w:r>
        <w:t>Outros estudos (Costa, 2017; Mendes, 2008;</w:t>
      </w:r>
      <w:r>
        <w:rPr>
          <w:b/>
        </w:rPr>
        <w:t xml:space="preserve"> </w:t>
      </w:r>
      <w:r>
        <w:t>Silveira et al., 2015) identificaram dados similares em adolescentes que cumprem medidas socioeducativas. Considera-se que o modo de vínculos desenvolvidos com as instituições educacionais, de trabalho e familiares podem ser fatores protetivos importantes para o desenvolvimento de projetos de vida e para o rompimento com práticas infracionais (</w:t>
      </w:r>
      <w:proofErr w:type="spellStart"/>
      <w:r>
        <w:t>Baquero</w:t>
      </w:r>
      <w:proofErr w:type="spellEnd"/>
      <w:r>
        <w:t xml:space="preserve"> et al., 2011). Entretanto, considerando a realidade vivenciada, mesmo tendo a previsão de planos futuros, os adolescentes acabam encontrando dificuldade para efetivá-los. Inclusive, questiona-se o fato das próprias unidades que acompanham as MSE não conseguirem possibilitar as condições concretas para a construção e efetivação dos projetos de vida dos adolescentes (Costa &amp; Alberto, 2021). </w:t>
      </w:r>
    </w:p>
    <w:p w14:paraId="409635B3" w14:textId="77777777" w:rsidR="00C33A41" w:rsidRDefault="007B3952">
      <w:pPr>
        <w:ind w:firstLine="708"/>
        <w:rPr>
          <w:b/>
        </w:rPr>
      </w:pPr>
      <w:r>
        <w:t>Nesse ínterim, ainda que esses fatores (trabalho, família e bens materiais) estejam presentes nos projetos de vida dos adolescentes, é preciso analisar as influências contextuais, como os indicadores socioeconômicos e acesso a oportunidades, presentes no cotidiano dos participantes. Isso porque são esses contextos que irão gerar as oportunidades e condições concretas para a efetivação das metas e sonhos (Silveira et al., 2015). Grande parte dos adolescentes envolvidos em atos infracionais já vivenciavam uma realidade marcada pela desigualdade social e, considerando a pandemia e suas repercussões, os riscos tornaram-se acentuados. Diante disso, é preciso considerar não apenas a identificação de metas e projetos, mas também o quanto o contexto pode desencorajar a ação em busca de alcançá-las e frustrá-los.</w:t>
      </w:r>
    </w:p>
    <w:p w14:paraId="5D96FB94" w14:textId="77777777" w:rsidR="00C33A41" w:rsidRDefault="007B3952">
      <w:pPr>
        <w:ind w:firstLine="708"/>
      </w:pPr>
      <w:r>
        <w:t xml:space="preserve">Já no que tange às aquisições de bens materiais, alguns adolescentes indicaram o desejo de adquirir carro, moto e casa, o que indica o anseio a direitos fundamentais, como moradia e transporte, que são direitos constitucionais preconizados na Constituição </w:t>
      </w:r>
      <w:r>
        <w:lastRenderedPageBreak/>
        <w:t xml:space="preserve">Federal (Brasil, 1988). Em casos pontuais, alguns adolescentes também têm a expectativa de obter meios materiais para atividades de lazer, como viajar (ex.: </w:t>
      </w:r>
      <w:r>
        <w:rPr>
          <w:i/>
        </w:rPr>
        <w:t>“viajar para Portugal ou EUA”, “conhecer vários países”</w:t>
      </w:r>
      <w:r>
        <w:t>).</w:t>
      </w:r>
    </w:p>
    <w:p w14:paraId="043E37A8" w14:textId="77777777" w:rsidR="00C33A41" w:rsidRDefault="007B3952">
      <w:pPr>
        <w:ind w:firstLine="708"/>
      </w:pPr>
      <w:r>
        <w:t xml:space="preserve">Com relação ao acesso a bens materiais e de consumo, Pessoa (2017) identificou dados similares. No estudo do autor, ficou evidenciado que o retorno financeiro obtido com o envolvimento no tráfico possibilitou aos adolescentes adquirirem produtos de marca ou valorizados socialmente (Pessoa, 2017). Nesta perspectiva, cabe avaliar novamente a influência do </w:t>
      </w:r>
      <w:r>
        <w:rPr>
          <w:i/>
        </w:rPr>
        <w:t xml:space="preserve">macrossistema </w:t>
      </w:r>
      <w:r>
        <w:t>(Bronfenbrenner &amp; Morris, 1998) no desenvolvimento e nas projeções de futuro dos adolescentes, visto que o sistema político-econômico capitalista, vigente na sociedade, produz modos de vivências pautados no consumo. Caso os adolescentes não encontrem meios de acesso ao que é estimulado socialmente, o envolvimento em práticas infracionais se torna uma alternativa e, consequentemente, se perpetua como uma alternativa para obtenção de projetos de vida, ainda que em atividades que os colocam em risco.</w:t>
      </w:r>
    </w:p>
    <w:p w14:paraId="61E9E82B" w14:textId="77777777" w:rsidR="00C33A41" w:rsidRDefault="00C33A41"/>
    <w:p w14:paraId="657CA60A" w14:textId="77777777" w:rsidR="00C33A41" w:rsidRDefault="007B3952">
      <w:pPr>
        <w:pStyle w:val="Ttulo3"/>
      </w:pPr>
      <w:bookmarkStart w:id="58" w:name="_heading=h.1jlao46" w:colFirst="0" w:colLast="0"/>
      <w:bookmarkEnd w:id="58"/>
      <w:r>
        <w:t>2.3 Mas como realizar esses sonhos? A falta de trabalho durante a pandemia como dificultador da realização de projetos de vida</w:t>
      </w:r>
    </w:p>
    <w:p w14:paraId="79FAC777" w14:textId="77777777" w:rsidR="00C33A41" w:rsidRDefault="007B3952">
      <w:pPr>
        <w:ind w:firstLine="708"/>
      </w:pPr>
      <w:r>
        <w:t xml:space="preserve">Nesta última temática foi identificada a principal dificuldade indicada pelos adolescentes para a continuidade dos seus projetos de vida e expectativas futuras. Ainda que os participantes verbalizaram a existência de metas e projetos, bem como conseguiram descrever o que almejam, a pandemia do covid-19 trouxe consequências para diversas áreas da vida deles, como abordado no Capítulo 3 desta Tese. Durante as entrevistas, ao serem questionados se a pandemia interferiu de alguma forma nos seus projetos futuros, os adolescentes direcionaram o foco quase que exclusivamente para a dificuldade em manter o trabalho. Portanto, o contexto pandêmico, segundo relato dos </w:t>
      </w:r>
      <w:r>
        <w:lastRenderedPageBreak/>
        <w:t xml:space="preserve">adolescentes, impactou particularmente no rompimento com as atividades laborais exercidas e, consequentemente, na dimensão econômica. </w:t>
      </w:r>
    </w:p>
    <w:p w14:paraId="24C30769" w14:textId="77777777" w:rsidR="00C33A41" w:rsidRDefault="007B3952">
      <w:pPr>
        <w:spacing w:line="240" w:lineRule="auto"/>
        <w:ind w:left="1418"/>
        <w:rPr>
          <w:i/>
        </w:rPr>
      </w:pPr>
      <w:r>
        <w:rPr>
          <w:i/>
        </w:rPr>
        <w:t xml:space="preserve">“Sim. </w:t>
      </w:r>
      <w:r>
        <w:t>[...]</w:t>
      </w:r>
      <w:r>
        <w:rPr>
          <w:i/>
        </w:rPr>
        <w:t xml:space="preserve"> Trabalho, né, senhor? Trabalho foi muito difícil, porque estavam muitas pessoas abandonando trabalhador por causa dessa covid” (Miguel, 17 anos, Santa Maria)</w:t>
      </w:r>
    </w:p>
    <w:p w14:paraId="68FFFF43" w14:textId="77777777" w:rsidR="00C33A41" w:rsidRDefault="00C33A41">
      <w:pPr>
        <w:spacing w:line="240" w:lineRule="auto"/>
        <w:ind w:left="1418"/>
        <w:rPr>
          <w:i/>
          <w:u w:val="single"/>
        </w:rPr>
      </w:pPr>
    </w:p>
    <w:p w14:paraId="3FF0AF6A" w14:textId="77777777" w:rsidR="00C33A41" w:rsidRDefault="007B3952">
      <w:pPr>
        <w:spacing w:line="240" w:lineRule="auto"/>
        <w:ind w:left="1418"/>
        <w:rPr>
          <w:i/>
          <w:u w:val="single"/>
        </w:rPr>
      </w:pPr>
      <w:r>
        <w:rPr>
          <w:i/>
        </w:rPr>
        <w:t>“</w:t>
      </w:r>
      <w:r>
        <w:t>[...]</w:t>
      </w:r>
      <w:r>
        <w:rPr>
          <w:i/>
        </w:rPr>
        <w:t xml:space="preserve"> agora ficou mais difícil de arrumar serviço. Isso não era tão complicado de conseguir serviço, agora complicou um pouco mais. Aí tão mais desempregando do que empregando” (Raul, 18 anos, Santa Maria)</w:t>
      </w:r>
    </w:p>
    <w:p w14:paraId="0F865BF0" w14:textId="77777777" w:rsidR="00C33A41" w:rsidRDefault="00C33A41">
      <w:pPr>
        <w:spacing w:line="240" w:lineRule="auto"/>
        <w:ind w:left="1418"/>
        <w:rPr>
          <w:i/>
          <w:u w:val="single"/>
        </w:rPr>
      </w:pPr>
    </w:p>
    <w:p w14:paraId="3081C547" w14:textId="77777777" w:rsidR="00C33A41" w:rsidRDefault="007B3952">
      <w:pPr>
        <w:spacing w:line="240" w:lineRule="auto"/>
        <w:ind w:left="1418"/>
        <w:rPr>
          <w:i/>
        </w:rPr>
      </w:pPr>
      <w:r>
        <w:rPr>
          <w:i/>
        </w:rPr>
        <w:t xml:space="preserve">“Atrapalhou também na questão de que eu estava trabalhando, tive que fechar o local, isso aí atrapalhou bastante. </w:t>
      </w:r>
      <w:r>
        <w:t>[...]</w:t>
      </w:r>
      <w:r>
        <w:rPr>
          <w:i/>
        </w:rPr>
        <w:t xml:space="preserve"> Porque você não trabalha, aí você é menor, é difícil arrumar emprego. Aí você vê o que dá para fazer, né? Acho que influenciou bastante, sim. Porque nós somos jovens, querendo ou não a gente quer viver a vida” (Igor, 18 anos, São Paulo)</w:t>
      </w:r>
    </w:p>
    <w:p w14:paraId="7D7A0C61" w14:textId="77777777" w:rsidR="00C33A41" w:rsidRDefault="00C33A41">
      <w:pPr>
        <w:spacing w:line="240" w:lineRule="auto"/>
        <w:ind w:left="1418"/>
        <w:rPr>
          <w:i/>
        </w:rPr>
      </w:pPr>
    </w:p>
    <w:p w14:paraId="4E39F267" w14:textId="77777777" w:rsidR="00C33A41" w:rsidRDefault="007B3952">
      <w:pPr>
        <w:spacing w:line="240" w:lineRule="auto"/>
        <w:ind w:left="1418"/>
        <w:rPr>
          <w:i/>
        </w:rPr>
      </w:pPr>
      <w:r>
        <w:rPr>
          <w:i/>
        </w:rPr>
        <w:t>“[...] mudou por essa parte, a covid influenciou, entendeu? No tempo que não tinha covid, eu trabalhava… aí quando veio a covid foi uma reviravolta e cheguei aqui [</w:t>
      </w:r>
      <w:r>
        <w:rPr>
          <w:i/>
          <w:u w:val="single"/>
        </w:rPr>
        <w:t>internação</w:t>
      </w:r>
      <w:r>
        <w:rPr>
          <w:i/>
        </w:rPr>
        <w:t>]” (Pedro, 18 anos, Natal)</w:t>
      </w:r>
    </w:p>
    <w:p w14:paraId="20153B5A" w14:textId="77777777" w:rsidR="00C33A41" w:rsidRDefault="00C33A41">
      <w:pPr>
        <w:spacing w:line="240" w:lineRule="auto"/>
        <w:ind w:left="1418"/>
        <w:rPr>
          <w:i/>
        </w:rPr>
      </w:pPr>
    </w:p>
    <w:p w14:paraId="6992AEAE" w14:textId="77777777" w:rsidR="00C33A41" w:rsidRDefault="007B3952">
      <w:pPr>
        <w:spacing w:line="240" w:lineRule="auto"/>
        <w:ind w:left="1418"/>
        <w:rPr>
          <w:i/>
        </w:rPr>
      </w:pPr>
      <w:bookmarkStart w:id="59" w:name="_heading=h.43ky6rz" w:colFirst="0" w:colLast="0"/>
      <w:bookmarkEnd w:id="59"/>
      <w:r>
        <w:rPr>
          <w:i/>
        </w:rPr>
        <w:t>“Ficou mais complicado, né? [...] Por dinheiro. A pessoa sem oportunidade pra trabalho, ficou mais complicado. Conseguir o dinheiro, de conseguir trabalho, de estudar…” (Henrique, 19 anos, São Paulo)</w:t>
      </w:r>
    </w:p>
    <w:p w14:paraId="3B4431E3" w14:textId="77777777" w:rsidR="00C33A41" w:rsidRDefault="00C33A41">
      <w:pPr>
        <w:spacing w:line="240" w:lineRule="auto"/>
        <w:ind w:left="1418"/>
        <w:rPr>
          <w:i/>
        </w:rPr>
      </w:pPr>
    </w:p>
    <w:p w14:paraId="423AA1CA" w14:textId="77777777" w:rsidR="00C33A41" w:rsidRDefault="00C33A41">
      <w:pPr>
        <w:spacing w:line="240" w:lineRule="auto"/>
        <w:rPr>
          <w:u w:val="single"/>
        </w:rPr>
      </w:pPr>
    </w:p>
    <w:p w14:paraId="5E5D916E" w14:textId="77777777" w:rsidR="00C33A41" w:rsidRDefault="007B3952">
      <w:pPr>
        <w:ind w:firstLine="708"/>
      </w:pPr>
      <w:r>
        <w:t>Novamente, verificou-se o trabalho como elemento central citado pelos participantes quando se abordou as expectativas de futuro e projetos de vida dos adolescentes. No Questionário de Projetos de Vida, as metas descritas com mais frequência foram relacionadas à inserção profissional/laboral. Já nas entrevistas, o tema apareceu como sendo a principal dificuldade no estabelecimento de projetos de vida diante do contexto da pandemia. De acordo com os adolescentes, antes da pandemia e da internação, conseguir trabalho era mais fácil. Entretanto, com as medidas de contenção e o período de isolamento social, diversos espaços foram fechados e houve um aumento das taxas de desemprego (</w:t>
      </w:r>
      <w:proofErr w:type="spellStart"/>
      <w:r>
        <w:t>Berniell</w:t>
      </w:r>
      <w:proofErr w:type="spellEnd"/>
      <w:r>
        <w:t xml:space="preserve"> &amp; Fernandez, 2021) que, como indicado pelos adolescentes, impactou suas vidas. </w:t>
      </w:r>
    </w:p>
    <w:p w14:paraId="46A11B00" w14:textId="77777777" w:rsidR="00C33A41" w:rsidRDefault="007B3952">
      <w:pPr>
        <w:ind w:firstLine="708"/>
        <w:rPr>
          <w:i/>
        </w:rPr>
      </w:pPr>
      <w:r>
        <w:lastRenderedPageBreak/>
        <w:t>Alguns adolescentes também apresentaram uma dimensão importante ao falarem sobre os projetos de vida, associada à perspectiva de ação. De acordo com Marcelino et al. (2009), os projetos de vida devem permitir a conscientização sobre as possibilidades e impossibilidades de superar a realidade presente e alcançar as metas futuras traçadas. Neste sentido, um dos adolescentes inclusive verbalizou que “</w:t>
      </w:r>
      <w:r>
        <w:rPr>
          <w:i/>
        </w:rPr>
        <w:t xml:space="preserve">[...] aqui dentro </w:t>
      </w:r>
      <w:r>
        <w:t>[internação]</w:t>
      </w:r>
      <w:r>
        <w:rPr>
          <w:i/>
        </w:rPr>
        <w:t>, eu até converso com pessoal, que vê essa questão de trabalho pra gente lá fora. Aí eu estou conversando com eles para ver se eles conseguem arrumar um emprego para mim [...]” (Igor, 18 anos, São Paulo).</w:t>
      </w:r>
    </w:p>
    <w:p w14:paraId="2D95BA60" w14:textId="77777777" w:rsidR="00C33A41" w:rsidRDefault="007B3952">
      <w:pPr>
        <w:pBdr>
          <w:top w:val="nil"/>
          <w:left w:val="nil"/>
          <w:bottom w:val="nil"/>
          <w:right w:val="nil"/>
          <w:between w:val="nil"/>
        </w:pBdr>
        <w:ind w:firstLine="708"/>
        <w:rPr>
          <w:rFonts w:eastAsia="Times New Roman" w:cs="Times New Roman"/>
          <w:color w:val="000000"/>
        </w:rPr>
      </w:pPr>
      <w:r>
        <w:rPr>
          <w:rFonts w:eastAsia="Times New Roman" w:cs="Times New Roman"/>
          <w:color w:val="000000"/>
        </w:rPr>
        <w:t>Outro adolescente demonstrou estar atento as informações sobre o período final da pandemia e as flexibilizações das medidas de contenção ao indicar também perspectivas de ação para inserção no mercado de trabalho com a finalização da MSE. Segundo ele,</w:t>
      </w:r>
      <w:r>
        <w:rPr>
          <w:rFonts w:eastAsia="Times New Roman" w:cs="Times New Roman"/>
          <w:i/>
          <w:color w:val="000000"/>
        </w:rPr>
        <w:t xml:space="preserve"> “[...] hoje em dia está mais acessível, tipo não tem mais loja que fechou, eu perguntei e hoje já está tudo aberto. Acho que a primeira coisa que vou fazer é um trabalho</w:t>
      </w:r>
      <w:r>
        <w:rPr>
          <w:rFonts w:eastAsia="Times New Roman" w:cs="Times New Roman"/>
          <w:color w:val="000000"/>
        </w:rPr>
        <w:t>”</w:t>
      </w:r>
      <w:r>
        <w:rPr>
          <w:rFonts w:eastAsia="Times New Roman" w:cs="Times New Roman"/>
          <w:i/>
          <w:color w:val="000000"/>
        </w:rPr>
        <w:t xml:space="preserve"> (Antônio, 17 anos, São Paulo). </w:t>
      </w:r>
      <w:r>
        <w:rPr>
          <w:rFonts w:eastAsia="Times New Roman" w:cs="Times New Roman"/>
          <w:color w:val="000000"/>
        </w:rPr>
        <w:t>Manter-se informado sobre as condições sanitárias e sociais já pode ser um indicativo de mobilização para o alcance das metas e plano futuros.</w:t>
      </w:r>
      <w:r>
        <w:rPr>
          <w:rFonts w:eastAsia="Times New Roman" w:cs="Times New Roman"/>
          <w:i/>
          <w:color w:val="000000"/>
        </w:rPr>
        <w:t xml:space="preserve"> </w:t>
      </w:r>
      <w:r>
        <w:rPr>
          <w:rFonts w:eastAsia="Times New Roman" w:cs="Times New Roman"/>
          <w:color w:val="000000"/>
        </w:rPr>
        <w:t xml:space="preserve">O participante Pedro (18 anos, Natal) também apresentou essa característica ao indicar que tem como meta aprender inglês. Para alcançar essa meta, o adolescente verbalizou já estar, durante a internação, realizando ações relacionadas como: </w:t>
      </w:r>
      <w:r>
        <w:rPr>
          <w:rFonts w:eastAsia="Times New Roman" w:cs="Times New Roman"/>
          <w:i/>
          <w:color w:val="000000"/>
        </w:rPr>
        <w:t>“[...] passam a tele aula de São Paulo, que é o curso de inglês. Aí eu vou anotando, aprendendo para quando eu for aprender mesmo, de verdade, eu já ter alguma noção”</w:t>
      </w:r>
      <w:r>
        <w:rPr>
          <w:rFonts w:eastAsia="Times New Roman" w:cs="Times New Roman"/>
          <w:color w:val="000000"/>
        </w:rPr>
        <w:t xml:space="preserve">. Portanto, alguns dos participantes indicaram uma busca por meios de alcançar as metas traçadas, embora não seja uma característica identificada na maioria deles. </w:t>
      </w:r>
    </w:p>
    <w:p w14:paraId="641BB383" w14:textId="77777777" w:rsidR="00C33A41" w:rsidRDefault="007B3952">
      <w:pPr>
        <w:ind w:firstLine="708"/>
      </w:pPr>
      <w:r>
        <w:t xml:space="preserve">Entretanto, por se tratar de adolescentes que já vivenciavam situação de vulnerabilidade por pertencerem a famílias com condições socioeconômicas desfavoráveis, a questão do trabalho tem uma influência importante devido à fragilização </w:t>
      </w:r>
      <w:r>
        <w:lastRenderedPageBreak/>
        <w:t xml:space="preserve">financeira. Os adolescentes relataram, durante as entrevistas, que, com a falta de trabalho, a dificuldade de acesso a questões básicas, como alimentação, ficou ainda mais evidente nos seus cotidianos. </w:t>
      </w:r>
    </w:p>
    <w:p w14:paraId="15C2A31A" w14:textId="77777777" w:rsidR="00C33A41" w:rsidRDefault="007B3952">
      <w:pPr>
        <w:spacing w:line="240" w:lineRule="auto"/>
        <w:ind w:left="1416"/>
        <w:rPr>
          <w:i/>
        </w:rPr>
      </w:pPr>
      <w:r>
        <w:rPr>
          <w:i/>
        </w:rPr>
        <w:t>“[...] dinheiro, né? Pra ajudar minha família. Vendo todo mundo precisando de dinheiro e sem poder fazer nada… ficou muito complicado. Tentei achar uma solução, mas…” (Henrique, 19 anos, São Paulo)</w:t>
      </w:r>
    </w:p>
    <w:p w14:paraId="66F7CF3F" w14:textId="77777777" w:rsidR="00C33A41" w:rsidRDefault="00C33A41">
      <w:pPr>
        <w:spacing w:line="240" w:lineRule="auto"/>
        <w:ind w:left="1416"/>
        <w:rPr>
          <w:i/>
        </w:rPr>
      </w:pPr>
    </w:p>
    <w:p w14:paraId="4BD68392" w14:textId="77777777" w:rsidR="00C33A41" w:rsidRDefault="007B3952">
      <w:pPr>
        <w:spacing w:line="240" w:lineRule="auto"/>
        <w:ind w:left="1416"/>
        <w:rPr>
          <w:i/>
        </w:rPr>
      </w:pPr>
      <w:r>
        <w:rPr>
          <w:i/>
        </w:rPr>
        <w:t>“[...] alteração teve bastante, a parte de alimentação e tudo. O aumento dos preços também” (Elias, 18 anos, São Paulo)</w:t>
      </w:r>
    </w:p>
    <w:p w14:paraId="7F825027" w14:textId="77777777" w:rsidR="00C33A41" w:rsidRDefault="00C33A41">
      <w:pPr>
        <w:spacing w:line="240" w:lineRule="auto"/>
        <w:ind w:left="1416"/>
        <w:rPr>
          <w:i/>
        </w:rPr>
      </w:pPr>
    </w:p>
    <w:p w14:paraId="4549D962" w14:textId="77777777" w:rsidR="00C33A41" w:rsidRDefault="007B3952">
      <w:pPr>
        <w:spacing w:line="240" w:lineRule="auto"/>
        <w:ind w:left="1416"/>
        <w:rPr>
          <w:i/>
        </w:rPr>
      </w:pPr>
      <w:r>
        <w:rPr>
          <w:i/>
        </w:rPr>
        <w:t>“Dificuldade mesmo foi as coisas dentro de casa, né, senhora. Comprar as coisas pra dentro de casa ‘tava’ difícil. Gerou muita dificuldade” (Lucas, 19 ano, Porto Nacional)</w:t>
      </w:r>
    </w:p>
    <w:p w14:paraId="3D257020" w14:textId="77777777" w:rsidR="00C33A41" w:rsidRDefault="00C33A41">
      <w:pPr>
        <w:spacing w:line="240" w:lineRule="auto"/>
        <w:ind w:left="1416"/>
        <w:rPr>
          <w:i/>
        </w:rPr>
      </w:pPr>
    </w:p>
    <w:p w14:paraId="604B4833" w14:textId="77777777" w:rsidR="00C33A41" w:rsidRDefault="007B3952">
      <w:pPr>
        <w:spacing w:line="240" w:lineRule="auto"/>
        <w:ind w:left="1416"/>
        <w:rPr>
          <w:i/>
        </w:rPr>
      </w:pPr>
      <w:r>
        <w:rPr>
          <w:i/>
        </w:rPr>
        <w:t>“[...] porque a gente sem dinheiro é complicado, né? Aí tem que ter um trabalho, até mesmo pra me ajudar dentro de casa. Só a minha mãe não dá pra sustentar a casa inteira. Aí é mais com a questão do dinheiro mesmo e até pra mim não acabar fazendo besteira lá na frente de novo” (Igor, 18 anos, São Paulo)</w:t>
      </w:r>
    </w:p>
    <w:p w14:paraId="431DBECB" w14:textId="77777777" w:rsidR="00C33A41" w:rsidRDefault="00C33A41">
      <w:pPr>
        <w:spacing w:line="360" w:lineRule="auto"/>
      </w:pPr>
    </w:p>
    <w:p w14:paraId="672D4BA8" w14:textId="77777777" w:rsidR="00C33A41" w:rsidRDefault="007B3952">
      <w:pPr>
        <w:ind w:firstLine="708"/>
      </w:pPr>
      <w:r>
        <w:t xml:space="preserve">Diante disso, evidenciou-se que a questão socioeconômica permeia os projetos de vida dos adolescentes relacionados ao trabalho. Dessa forma, é preciso questionar a dificuldade que pode causar nos adolescentes em refletir de forma genuína e autêntica sobre seus sonhos e projetos de vida, visto que a necessidade financeira faz com que os mesmos pensem em se inserir no mercado de trabalho, por vezes em condições precárias, como forma de reduzir as condições de miserabilidade que eles próprios e suas famílias vivem. Na ausência desses espaços de trabalho (formais e informais), como ocorreu com a pandemia, a dificuldade econômica pode ter implicado na necessidade de os adolescentes buscarem outros meios de sanar suas necessidades, incluindo nos atos infracionais que geram algum benefício monetário, como o tráfico de drogas. Um dos adolescentes verbalizou veementemente essa realidade durante sua entrevista. </w:t>
      </w:r>
    </w:p>
    <w:p w14:paraId="4FBC6B09" w14:textId="77777777" w:rsidR="00C33A41" w:rsidRDefault="007B3952">
      <w:pPr>
        <w:spacing w:line="240" w:lineRule="auto"/>
        <w:ind w:left="1416"/>
        <w:rPr>
          <w:i/>
        </w:rPr>
      </w:pPr>
      <w:r>
        <w:rPr>
          <w:i/>
        </w:rPr>
        <w:t>“</w:t>
      </w:r>
      <w:r>
        <w:rPr>
          <w:i/>
          <w:u w:val="single"/>
        </w:rPr>
        <w:t>Entrevistador</w:t>
      </w:r>
      <w:r>
        <w:rPr>
          <w:i/>
        </w:rPr>
        <w:t>: se sair daqui e acontecer de novo essa questão de dificuldade de trabalho, você acha que talvez aconteceria de você voltar pra cá?</w:t>
      </w:r>
    </w:p>
    <w:p w14:paraId="0A630D8B" w14:textId="77777777" w:rsidR="00C33A41" w:rsidRDefault="007B3952">
      <w:pPr>
        <w:spacing w:line="240" w:lineRule="auto"/>
        <w:ind w:left="1416"/>
        <w:rPr>
          <w:i/>
        </w:rPr>
      </w:pPr>
      <w:r>
        <w:rPr>
          <w:i/>
          <w:u w:val="single"/>
        </w:rPr>
        <w:t>Adolescente</w:t>
      </w:r>
      <w:r>
        <w:rPr>
          <w:i/>
        </w:rPr>
        <w:t>: Acho.</w:t>
      </w:r>
    </w:p>
    <w:p w14:paraId="150B35BC" w14:textId="77777777" w:rsidR="00C33A41" w:rsidRDefault="007B3952">
      <w:pPr>
        <w:spacing w:line="240" w:lineRule="auto"/>
        <w:ind w:left="1416"/>
        <w:rPr>
          <w:i/>
        </w:rPr>
      </w:pPr>
      <w:r>
        <w:rPr>
          <w:i/>
          <w:u w:val="single"/>
        </w:rPr>
        <w:lastRenderedPageBreak/>
        <w:t>Entrevistador</w:t>
      </w:r>
      <w:r>
        <w:rPr>
          <w:i/>
        </w:rPr>
        <w:t>: Mas você acha que é um risco essa questão? Por exemplo, se você não consegue arrumar serviço…</w:t>
      </w:r>
    </w:p>
    <w:p w14:paraId="6A193587" w14:textId="77777777" w:rsidR="00C33A41" w:rsidRDefault="007B3952">
      <w:pPr>
        <w:spacing w:line="240" w:lineRule="auto"/>
        <w:ind w:left="1416"/>
        <w:rPr>
          <w:i/>
        </w:rPr>
      </w:pPr>
      <w:r>
        <w:rPr>
          <w:i/>
          <w:u w:val="single"/>
        </w:rPr>
        <w:t>Adolescente</w:t>
      </w:r>
      <w:r>
        <w:rPr>
          <w:i/>
        </w:rPr>
        <w:t>: Eu me viro com o que tem, né. Quem não tem cão, caça com gato. Mas seria a primeira coisa que viria na minha cabeça, até porque já é uma coisa que assim… Essa vida é a que a gente já está acostumado, né? Querendo ou não é até mais difícil lá fora você se manter, porque trabalho você trabalha 30 dias para depois você receber seu salário. Ali não, o que você faz no mês, ali você faz em uma ou duas semanas. E toda vez você tem dinheiro, né?” (Igor, 18 anos, São Paulo)</w:t>
      </w:r>
    </w:p>
    <w:p w14:paraId="642759C7" w14:textId="77777777" w:rsidR="00C33A41" w:rsidRDefault="00C33A41"/>
    <w:p w14:paraId="54AC0A0C" w14:textId="77777777" w:rsidR="00C33A41" w:rsidRDefault="007B3952">
      <w:r>
        <w:tab/>
        <w:t xml:space="preserve">Como observado no relato, a questão financeira tem um peso na vida dos adolescentes e suas famílias, o que certamente influencia seus projetos de vida e as estratégias para alcançá-los. Dessa forma, o fator socioeconômico pode acabar se sobressaindo aos projetos de vida saudáveis, visto que a necessidade de suprir necessidades básicas é urgente. Neste sentido, cabe também uma crítica a forma com que os projetos de vida são abordados em diferentes contextos. A fala do adolescente acima vai ao encontro de algo já discutido por </w:t>
      </w:r>
      <w:proofErr w:type="spellStart"/>
      <w:r>
        <w:t>Nardi</w:t>
      </w:r>
      <w:proofErr w:type="spellEnd"/>
      <w:r>
        <w:t xml:space="preserve"> e </w:t>
      </w:r>
      <w:proofErr w:type="spellStart"/>
      <w:r>
        <w:t>Dell’Aglio</w:t>
      </w:r>
      <w:proofErr w:type="spellEnd"/>
      <w:r>
        <w:t xml:space="preserve"> (2014), que pontuaram que os adolescentes, ao saírem do sistema socioeducativo, retornam para a mesma realidade social pré-existente e que, geralmente, subsidiou seu envolvimento em práticas infracionais. Isso pode aumentar o risco de reincidência e o retorno desses adolescentes ao sistema de responsabilização, impedindo, novamente, o delineamento de projetos futuros desvinculados do ato infracional. </w:t>
      </w:r>
    </w:p>
    <w:p w14:paraId="670A57A2" w14:textId="77777777" w:rsidR="00C33A41" w:rsidRDefault="007B3952">
      <w:pPr>
        <w:ind w:firstLine="708"/>
      </w:pPr>
      <w:r>
        <w:t>Os projetos de vida podem ser considerados fatores protetivos, por isso, inclusive, o SINASE (Brasil, 2006) preconiza o seu desenvolvimento dentro das ações de MSE. Entretanto, como observado, efetivar o trabalho com dispositivos de proteção com adolescentes em situação de exclusão social é uma realidade difícil no Brasil, visto que eles não têm acesso a atendimentos adequados ao seu período desenvolvimental (Azevedo et al., 2017), bem como pela dificuldade em encontrar possibilidades reais de mudança das suas condições de vulnerabilidade (</w:t>
      </w:r>
      <w:proofErr w:type="spellStart"/>
      <w:r>
        <w:t>Benelli</w:t>
      </w:r>
      <w:proofErr w:type="spellEnd"/>
      <w:r>
        <w:t xml:space="preserve">, 2014). </w:t>
      </w:r>
    </w:p>
    <w:p w14:paraId="12D0C390" w14:textId="77777777" w:rsidR="00C33A41" w:rsidRDefault="007B3952">
      <w:pPr>
        <w:ind w:firstLine="708"/>
      </w:pPr>
      <w:r>
        <w:lastRenderedPageBreak/>
        <w:t xml:space="preserve">Ademais, as próprias instituições de internação, por exemplo, não obtêm informações sobre a trajetória dos adolescentes após a saída das unidades. Dessa forma, a MSE de privação de liberdade, posteriormente, não sistematiza dados como a continuação do acesso à escola, inserção em cursos de formação, entrada no mercado de trabalho ou até mesmo as condições da família que esses adolescentes estão voltando (Costa &amp; Alberto, 2021), o que implica que os eventuais projetos de vida trabalhados durante a MSE de internação não recebem suporte institucionais, deixando os adolescentes à mercê da própria sorte. </w:t>
      </w:r>
    </w:p>
    <w:p w14:paraId="6DEB1964" w14:textId="77777777" w:rsidR="00C33A41" w:rsidRDefault="007B3952">
      <w:pPr>
        <w:ind w:firstLine="708"/>
      </w:pPr>
      <w:r>
        <w:t xml:space="preserve">Estudos têm identificado a efetividade de programas de acompanhamentos de egressos para a elaboração de projetos de vida de adolescentes que passaram pela internação (Costa, 2015; Costa &amp; Alberto, 2021). De acordo com a literatura, isso ocorre porque o acompanhamento envolve apoio da equipe técnica envolvida, estabelecimento de áreas de interesse e de necessidades do adolescente. Com relação ao apoio da equipe técnica, o estudo de </w:t>
      </w:r>
      <w:proofErr w:type="spellStart"/>
      <w:r>
        <w:t>Coscioni</w:t>
      </w:r>
      <w:proofErr w:type="spellEnd"/>
      <w:r>
        <w:t xml:space="preserve"> et al. (2018) demonstrou a importância dos vínculos de confiança formados como referência para os adolescentes. A TBDH preconiza que esses vínculos podem, quando bem estabelecidos, fomentar processos proximais nos adolescentes (Bronfenbrenner &amp; Morris, 1998). Diante disso, para além de se trabalhar a construção de projetos de vida com adolescentes, se vê a necessidade de que fatores como criação de vínculos com equipe técnica e acompanhamentos mais longos e duradouros sejam também abordados. </w:t>
      </w:r>
    </w:p>
    <w:p w14:paraId="6F3A065D" w14:textId="77777777" w:rsidR="00C33A41" w:rsidRDefault="007B3952">
      <w:pPr>
        <w:ind w:firstLine="708"/>
      </w:pPr>
      <w:r>
        <w:t xml:space="preserve">Considerando a TBDH, também se observa o impacto que os diferentes sistemas ecológicos têm para o desenvolvimento de projetos de vida, principalmente considerando o período de pandemia como um acentuador de riscos psicossociais. Além dos microssistemas, em que os adolescentes têm contato direto, como a família e as próprias unidades de internação, o macrossistema tem uma influência significativa no </w:t>
      </w:r>
      <w:r>
        <w:lastRenderedPageBreak/>
        <w:t xml:space="preserve">desenvolvimento desses jovens. Isto porque os principais fatores relacionados aos riscos que vivenciam dentro dos microssistemas ocorrem devido a política e sistema econômico vigente no país (macrossistema) (Bronfenbrenner, 1979). </w:t>
      </w:r>
    </w:p>
    <w:p w14:paraId="2013135A" w14:textId="3489ABC8" w:rsidR="00C33A41" w:rsidRDefault="007B3952">
      <w:pPr>
        <w:ind w:firstLine="708"/>
      </w:pPr>
      <w:r>
        <w:t xml:space="preserve">Com a pandemia, o sistema capitalista </w:t>
      </w:r>
      <w:r w:rsidR="00F13BCF">
        <w:t>demonstrou os efeitos de uma perspectiva neoliberal</w:t>
      </w:r>
      <w:r>
        <w:t xml:space="preserve"> para acentuar ainda mais as desigualdades, inserindo os interesses econômicos acima do bem-estar social. Portanto, o período pandêmico pode ter potencializado desigualdades de classe, raça e gênero já existentes, fazendo com que determinados grupos ficassem ainda mais expostos a riscos sanitários e sociais (Paixão et al., 2020). Este é o caso dos adolescentes que participaram do presente estudo e indicaram que a falta de emprego acabou dificultando a vida presente e também seus projetos de futuro, o que, por hipótese, os coloca em risco de reincidência infracional. </w:t>
      </w:r>
    </w:p>
    <w:p w14:paraId="16DA1706" w14:textId="77777777" w:rsidR="00C33A41" w:rsidRDefault="007B3952">
      <w:pPr>
        <w:ind w:firstLine="708"/>
      </w:pPr>
      <w:r>
        <w:t>Com isso, a dificuldade de construir projetos de vida pode fragilizar o desenvolvimento psicossocial dos adolescentes em internação. A presença de projetos e expectativas futuras é uma das bases para a promoção de autonomia e realização pessoal, portanto, seu impedimento reverbera em diversas outras áreas desenvolvimentais e, em efeito cascata, influencia os modos de relacionamentos afetivos, profissionais e sociais ao longo da vida dos adolescentes</w:t>
      </w:r>
      <w:r>
        <w:rPr>
          <w:b/>
        </w:rPr>
        <w:t xml:space="preserve"> </w:t>
      </w:r>
      <w:r>
        <w:t>(Costa &amp; Alberto, 2021).</w:t>
      </w:r>
    </w:p>
    <w:p w14:paraId="47B204EA" w14:textId="77777777" w:rsidR="00C33A41" w:rsidRDefault="00C33A41">
      <w:pPr>
        <w:rPr>
          <w:b/>
        </w:rPr>
      </w:pPr>
    </w:p>
    <w:p w14:paraId="137366A4" w14:textId="77777777" w:rsidR="00C33A41" w:rsidRDefault="00C33A41">
      <w:bookmarkStart w:id="60" w:name="_heading=h.qj9v5k1zxl5o" w:colFirst="0" w:colLast="0"/>
      <w:bookmarkEnd w:id="60"/>
    </w:p>
    <w:p w14:paraId="4D356F0E" w14:textId="77777777" w:rsidR="00C33A41" w:rsidRDefault="00C33A41">
      <w:pPr>
        <w:jc w:val="center"/>
        <w:rPr>
          <w:b/>
        </w:rPr>
      </w:pPr>
    </w:p>
    <w:p w14:paraId="15F23EE2" w14:textId="77777777" w:rsidR="00C33A41" w:rsidRDefault="00C33A41">
      <w:pPr>
        <w:jc w:val="center"/>
        <w:rPr>
          <w:b/>
        </w:rPr>
      </w:pPr>
    </w:p>
    <w:p w14:paraId="096332EE" w14:textId="77777777" w:rsidR="00C33A41" w:rsidRDefault="00C33A41">
      <w:pPr>
        <w:jc w:val="center"/>
        <w:rPr>
          <w:b/>
        </w:rPr>
      </w:pPr>
    </w:p>
    <w:p w14:paraId="3DA58B3C" w14:textId="77777777" w:rsidR="00C33A41" w:rsidRDefault="00C33A41">
      <w:pPr>
        <w:jc w:val="center"/>
        <w:rPr>
          <w:b/>
        </w:rPr>
      </w:pPr>
    </w:p>
    <w:p w14:paraId="12DB4E2C" w14:textId="77777777" w:rsidR="00C33A41" w:rsidRDefault="00C33A41">
      <w:pPr>
        <w:ind w:firstLine="0"/>
        <w:rPr>
          <w:b/>
        </w:rPr>
      </w:pPr>
    </w:p>
    <w:p w14:paraId="0252AB81" w14:textId="77777777" w:rsidR="00C33A41" w:rsidRDefault="00C33A41">
      <w:pPr>
        <w:ind w:firstLine="0"/>
        <w:rPr>
          <w:b/>
        </w:rPr>
      </w:pPr>
    </w:p>
    <w:p w14:paraId="388A2C36" w14:textId="77777777" w:rsidR="00C33A41" w:rsidRDefault="007B3952">
      <w:pPr>
        <w:pStyle w:val="Ttulo1"/>
      </w:pPr>
      <w:bookmarkStart w:id="61" w:name="_heading=h.2iq8gzs" w:colFirst="0" w:colLast="0"/>
      <w:bookmarkEnd w:id="61"/>
      <w:r>
        <w:lastRenderedPageBreak/>
        <w:t xml:space="preserve">CONSIDERAÇÕES FINAIS </w:t>
      </w:r>
    </w:p>
    <w:p w14:paraId="27CEDDE0" w14:textId="77777777" w:rsidR="00C33A41" w:rsidRDefault="00C33A41">
      <w:pPr>
        <w:spacing w:line="276" w:lineRule="auto"/>
        <w:jc w:val="center"/>
        <w:rPr>
          <w:rFonts w:ascii="Arial" w:eastAsia="Arial" w:hAnsi="Arial" w:cs="Arial"/>
          <w:sz w:val="22"/>
          <w:szCs w:val="22"/>
        </w:rPr>
      </w:pPr>
    </w:p>
    <w:p w14:paraId="4622A514" w14:textId="2634CBA8" w:rsidR="00C33A41" w:rsidRDefault="007B3952">
      <w:r>
        <w:tab/>
      </w:r>
      <w:r>
        <w:rPr>
          <w:color w:val="FF0000"/>
        </w:rPr>
        <w:t xml:space="preserve"> </w:t>
      </w:r>
      <w:r>
        <w:t xml:space="preserve">A presente tese, fruto de uma pesquisa multicêntrica e de abrangência nacional, teve como objetivo elaborar uma análise cautelosa e ética acerca de dimensões importantes para o desenvolvimento de adolescentes em cumprimento de medida socioeducativa de internação. O foco central foi </w:t>
      </w:r>
      <w:r>
        <w:rPr>
          <w:color w:val="000000"/>
          <w:highlight w:val="white"/>
        </w:rPr>
        <w:t>compreender os impactos que a pandemia</w:t>
      </w:r>
      <w:r w:rsidR="00D145AF">
        <w:rPr>
          <w:color w:val="000000"/>
          <w:highlight w:val="white"/>
        </w:rPr>
        <w:t xml:space="preserve"> do COVID-19</w:t>
      </w:r>
      <w:r>
        <w:rPr>
          <w:color w:val="000000"/>
          <w:highlight w:val="white"/>
        </w:rPr>
        <w:t xml:space="preserve"> teve no que se refere a rupturas sociais e relacionais na vida de adolescentes em situação de exclusão, especificamente em cumprimento de medida socioeducativa de internação no Brasil, bem como verificar as influências do contexto pandêmico nos seus projetos de vida e expectativas futuras</w:t>
      </w:r>
      <w:r>
        <w:rPr>
          <w:color w:val="FF0000"/>
        </w:rPr>
        <w:t xml:space="preserve">. </w:t>
      </w:r>
    </w:p>
    <w:p w14:paraId="3A23CDC7" w14:textId="5275BF20" w:rsidR="00C33A41" w:rsidRDefault="007B3952">
      <w:pPr>
        <w:ind w:firstLine="720"/>
      </w:pPr>
      <w:r>
        <w:t>Esta Tese se fundamenta em duas assertivas: 1) a pandemia produziu rompimentos de diversos vínculos institucionais e relacionais na vida de adolescentes que cumpriram medida socioeducativa de internação durante a pandemia e a explicação dessa lógica perpassa por uma dimensão temporal importante; 2) na percepção d</w:t>
      </w:r>
      <w:r w:rsidR="0091702C">
        <w:t>o</w:t>
      </w:r>
      <w:r>
        <w:t xml:space="preserve">s adolescentes, a pandemia não provocou alterações em seus projetos de vida, todavia, isso se deve ao fato de terem uma visão acrítica em razão dos processos históricos de exclusão e marginalização que estiveram expostos. </w:t>
      </w:r>
    </w:p>
    <w:p w14:paraId="0A9A1926" w14:textId="77777777" w:rsidR="00C33A41" w:rsidRDefault="00C33A41"/>
    <w:p w14:paraId="54C36FB7" w14:textId="77777777" w:rsidR="00C33A41" w:rsidRDefault="007B3952">
      <w:pPr>
        <w:jc w:val="center"/>
        <w:rPr>
          <w:b/>
        </w:rPr>
      </w:pPr>
      <w:r>
        <w:rPr>
          <w:b/>
        </w:rPr>
        <w:t>Assertiva 1</w:t>
      </w:r>
    </w:p>
    <w:p w14:paraId="68A1A010" w14:textId="77777777" w:rsidR="00C33A41" w:rsidRDefault="007B3952">
      <w:pPr>
        <w:ind w:firstLine="720"/>
      </w:pPr>
      <w:r>
        <w:t xml:space="preserve">A primeira assertiva confirma a hipótese inicial de que a pandemia impactaria nos vínculos que os adolescentes em medida socioeducativa de internação estabeleceram. A pandemia promoveu rompimentos de vínculos em diferentes dimensões e com marcadores temporais importantes. </w:t>
      </w:r>
    </w:p>
    <w:p w14:paraId="1B8664D3" w14:textId="38A66E9F" w:rsidR="00C33A41" w:rsidRDefault="007B3952">
      <w:pPr>
        <w:ind w:firstLine="720"/>
      </w:pPr>
      <w:r>
        <w:t xml:space="preserve">No que se refere aos vínculos familiares, a literatura preconiza que adolescentes que infracionam tendem a apresentar dificuldades nos relacionamentos entre a família. Entretanto, em um primeiro marcador temporal (início da pandemia) os adolescentes </w:t>
      </w:r>
      <w:r>
        <w:lastRenderedPageBreak/>
        <w:t xml:space="preserve">demonstraram uma aproximação com os membros da família e, consequentemente, um fortalecimento dos vínculos estabelecidos. Isso é uma consequência das medidas de contenção tomadas inicialmente pelos órgãos de saúde, como o estabelecimento do isolamento social. Esses adolescentes vivenciam uma situação de vulnerabilidade socioeconômica significativa, portanto, os membros da família constantemente precisavam estar em atividade laboral para conseguir garantir o acesso a recursos mínimos, como alimentação. Isso fazia com que o convívio dos adolescentes com os demais familiares diminuísse e não possibilitasse o desenvolvimento de processos relacionais mais próximos e com períodos de tempo </w:t>
      </w:r>
      <w:r w:rsidR="00E378F0">
        <w:t>prolo</w:t>
      </w:r>
      <w:r w:rsidR="00F64747">
        <w:t>ngados</w:t>
      </w:r>
      <w:r>
        <w:t xml:space="preserve">. </w:t>
      </w:r>
    </w:p>
    <w:p w14:paraId="0DD6B26B" w14:textId="4C85AF66" w:rsidR="00C33A41" w:rsidRDefault="007B3952">
      <w:pPr>
        <w:ind w:firstLine="720"/>
      </w:pPr>
      <w:r>
        <w:t>Com o isolamento social e o consequente crescimento nas taxas de desemprego ou trabalhos remotos, as famílias passa</w:t>
      </w:r>
      <w:r w:rsidR="00F64747">
        <w:t>ra</w:t>
      </w:r>
      <w:r>
        <w:t>m a ficar mais tempo dentro de casa</w:t>
      </w:r>
      <w:r w:rsidR="00295DFE">
        <w:t>, o que</w:t>
      </w:r>
      <w:r>
        <w:t xml:space="preserve"> aument</w:t>
      </w:r>
      <w:r w:rsidR="00295DFE">
        <w:t>ou</w:t>
      </w:r>
      <w:r>
        <w:t xml:space="preserve"> o convívio entre seus membros. Essa aproximação pode ter feito com que os adolescentes se aproximassem mais dos seus familiares e promovesse interações mais intensas do que era possível no pré-pandemia. É importante pontuar que, em momento algum, está se romantizando as consequências que o isolamento social causou na realidade social e econômica dessas famílias. Como já pontuado, é de compreensão que a maioria dos adolescentes que cometem atos infracionais vem de famílias em situação extremamente vulneráveis e que o isolamento pode ter acentuado essas dificuldades, trazendo consequências em áreas</w:t>
      </w:r>
      <w:r w:rsidR="000D0C63">
        <w:t xml:space="preserve"> e dimensões</w:t>
      </w:r>
      <w:r>
        <w:t xml:space="preserve"> que não necessariamente foram analisadas nesta tese. </w:t>
      </w:r>
    </w:p>
    <w:p w14:paraId="00877C74" w14:textId="38916573" w:rsidR="00C33A41" w:rsidRDefault="007B3952">
      <w:pPr>
        <w:ind w:firstLine="720"/>
      </w:pPr>
      <w:r>
        <w:t xml:space="preserve">Ao contrário, enfatiza-se a necessidade de investimento em políticas públicas de proteção social e de mobilidade econômica como um fator que pode abrir possibilidades para garantir a essas famílias um convívio adequado e potencializador de vínculos. Dessa forma, o que se afirma é que, mesmo diante de estressores sociais, os vínculos relacionais e afetivos dos adolescentes e suas famílias melhoraram diante do aumento do tempo de </w:t>
      </w:r>
      <w:r>
        <w:lastRenderedPageBreak/>
        <w:t xml:space="preserve">convívio, além de um senso de cuidado coletivo devido aos riscos sanitários. Portanto, as dificuldades encontradas nas relações familiares de adolescentes </w:t>
      </w:r>
      <w:r w:rsidR="00ED3546">
        <w:t>que cometeram atos infracionais</w:t>
      </w:r>
      <w:r>
        <w:t xml:space="preserve"> podem ter como um dos fatores desencadeantes o funcionamento capitalista de exploração do trabalho, que obriga </w:t>
      </w:r>
      <w:r w:rsidR="00C866FC">
        <w:t>cuidadores</w:t>
      </w:r>
      <w:r>
        <w:t xml:space="preserve">, por exemplo, a ter cargas de trabalho </w:t>
      </w:r>
      <w:r w:rsidR="00C866FC">
        <w:t>extenuantes</w:t>
      </w:r>
      <w:r>
        <w:t xml:space="preserve"> para garantir seu subsídio e, consequentemente, diminui o tempo e as possibilidades de vínculos familiares saudáveis.</w:t>
      </w:r>
    </w:p>
    <w:p w14:paraId="68BE2FDA" w14:textId="4F8066B7" w:rsidR="00C33A41" w:rsidRDefault="007B3952">
      <w:pPr>
        <w:ind w:firstLine="720"/>
      </w:pPr>
      <w:r>
        <w:t xml:space="preserve">Isso corrobora, inclusive, os pressupostos da TBDH que preconiza que o estabelecimento de processos proximais são promotores de desenvolvimento humano. A tese aqui defendida vai </w:t>
      </w:r>
      <w:r w:rsidR="00012118">
        <w:t>ao</w:t>
      </w:r>
      <w:r>
        <w:t xml:space="preserve"> encontro à teoria, visto que um dos critérios para que ocorra processos proximais é que a interação com as </w:t>
      </w:r>
      <w:r w:rsidR="008747ED">
        <w:t>outras pessoas aconteçam</w:t>
      </w:r>
      <w:r>
        <w:t xml:space="preserve"> por um período mais extenso de tempo. Os adolescentes, antes da pandemia, não tinham no seu contexto ecológico familiar a possibilidade de conviver esse tempo com seus familiares, pois os mesmos estavam trabalhando em cargas excessivas</w:t>
      </w:r>
      <w:r w:rsidR="00B54DDD">
        <w:t>,</w:t>
      </w:r>
      <w:r>
        <w:t xml:space="preserve"> buscando sua sobrevivência. Com o isolamento, mesmo diante de outros dificultadores, houve a possibilidade de extensão do convívio e um fortalecimento das relações.</w:t>
      </w:r>
    </w:p>
    <w:p w14:paraId="633EA37F" w14:textId="77777777" w:rsidR="00C33A41" w:rsidRDefault="007B3952">
      <w:pPr>
        <w:ind w:firstLine="720"/>
      </w:pPr>
      <w:r>
        <w:t>Entretanto, houve um segundo marcador temporal (a entrada na instituição socioeducativa de privação de liberdade) que interferiu diretamente nesses vínculos. Diante da realidade da pandemia e dos riscos sanitários, as instituições socioeducativas de privação de liberdade foram ineficientes em executar estratégias de contingenciamento que garantisse aos adolescentes a manutenção do convívio familiar. Ao contrário, no período de pandemia esse direito foi negado aos adolescentes que estavam sob tutela do Estado com a suspensão das visitas e do contato com as famílias. Portanto, foi a aplicação da medida socioeducativa, feita de forma inadequada, que provocou o rompimento dos vínculos familiares dos adolescentes.</w:t>
      </w:r>
    </w:p>
    <w:p w14:paraId="75133A9E" w14:textId="77777777" w:rsidR="00C33A41" w:rsidRDefault="007B3952">
      <w:pPr>
        <w:ind w:firstLine="720"/>
      </w:pPr>
      <w:r>
        <w:lastRenderedPageBreak/>
        <w:t xml:space="preserve">O mesmo movimento foi identificado na vinculação com o espaço escolar. A literatura indica a existência do rompimento com a escola nas trajetórias de adolescentes mesmo antes da apreensão. Inclusive, esse afastamento escolar se configura como um fator de risco significativo para o envolvimento em atos ilícitos. Esse foi o primeiro marcador temporal identificado no vínculo com a escola nos adolescentes participantes desta pesquisa. Ou seja, eles indicaram o histórico de evasão escolar já existente antes da internação e da pandemia. </w:t>
      </w:r>
    </w:p>
    <w:p w14:paraId="7DBCA66C" w14:textId="77777777" w:rsidR="00C33A41" w:rsidRDefault="007B3952">
      <w:pPr>
        <w:ind w:firstLine="720"/>
      </w:pPr>
      <w:r>
        <w:t>O segundo marcador temporal foi a entrada nas instituições de cumprimento de medidas que, frequentemente, vêm acompanhadas da reinserção desses adolescentes na escola, principalmente na medida de internação, em que as ações educacionais acontecem no próprio espaço em que a medida está sendo aplicada. Comumente, os adolescentes que passam por instituições de internação enfatizam a importância que a retomada do processo de escolarização tem nas suas trajetórias de ressocialização. De acordo com os adolescentes, esta volta para a escola é vista como positiva e como uma oportunidade de recuperar os déficits vivenciados com o rompimento anterior. Além disso, consideram a escola das unidades de internação como uma oportunidade para a alcançar expectativas de futuro, como uma inserção laboral quando a medida for extinta.</w:t>
      </w:r>
    </w:p>
    <w:p w14:paraId="49497425" w14:textId="77777777" w:rsidR="00C33A41" w:rsidRDefault="007B3952">
      <w:pPr>
        <w:ind w:firstLine="720"/>
        <w:rPr>
          <w:color w:val="FF0000"/>
        </w:rPr>
      </w:pPr>
      <w:r>
        <w:t xml:space="preserve">Entretanto, com a pandemia (o terceiro marcador temporal), embora não tenha sido relatado um rompimento total com a escola novamente, houve uma reorganização significativa na forma de ofertar os conteúdos e atividades escolares. Ainda assim, a educação na modalidade remota, dentro de uma instituição de internação, rebate diretamente no vinculo escolar. Os adolescentes são prejudicados pela falta de recursos para a manutenção adequada das atividades e as adequações feitas impactaram contundentemente a percepção deles sobre a relação com a escola. Esses adolescentes pontuaram claramente um desânimo com a escolarização e uma tendência novamente a </w:t>
      </w:r>
      <w:r>
        <w:lastRenderedPageBreak/>
        <w:t xml:space="preserve">evasão e rompimento com o espaço escolar, mesmo após a extinção da medida socioeducativa. </w:t>
      </w:r>
    </w:p>
    <w:p w14:paraId="21F99379" w14:textId="3D210AC5" w:rsidR="00C33A41" w:rsidRDefault="007B3952">
      <w:pPr>
        <w:ind w:firstLine="720"/>
      </w:pPr>
      <w:r>
        <w:t>Por fim, os vínculos com os profissionais das instituições de internação também foram identificados, considerando sua temporalidade na realidade da pandemia. Novamente, a literatura indica que a relação estabelecida com a equipe técnica durante a aplicação da medida é considerada positiva para os adolescentes que infracionam. Portanto, no primeiro momento, a possibilidade de novas vinculações com as pessoas que constituem a equipe técnica se configura como um fator promotor de desenvolvimento e relações saudáveis. Essas relações, inclusive, auxiliam a recepção mais positiva que esses adolescentes têm sobre as intervenções que vão sendo propostas ao longo do cumprimento da medida.</w:t>
      </w:r>
    </w:p>
    <w:p w14:paraId="7E9B4F3C" w14:textId="535BA2AC" w:rsidR="00C33A41" w:rsidRDefault="007B3952">
      <w:pPr>
        <w:ind w:firstLine="720"/>
      </w:pPr>
      <w:r>
        <w:t>Com a pandemia, as instituições diminuíram a quantidade de pessoas transitando dentro dos espaços e o contato dos adolescentes com a equipe técnica ficou reduzido para evitar contágios. Diante dessa nova realidade, que seria o segundo marcador temporal de impacto para esses vínculos, os adolescentes fica</w:t>
      </w:r>
      <w:r w:rsidR="00A25731">
        <w:t>ra</w:t>
      </w:r>
      <w:r>
        <w:t xml:space="preserve">m sem outras possibilidades de convívio, restando apenas o contato com os agentes de segurança. Entretanto, é de conhecimento que a relação com esses profissionais é conflituosa no histórico de internação, principalmente devido </w:t>
      </w:r>
      <w:r w:rsidR="00C93661">
        <w:t>à</w:t>
      </w:r>
      <w:r>
        <w:t xml:space="preserve"> violação de direitos e até agressões dos adolescentes dentro das unidades.</w:t>
      </w:r>
    </w:p>
    <w:p w14:paraId="273BBF8A" w14:textId="69396769" w:rsidR="00C33A41" w:rsidRDefault="007B3952">
      <w:pPr>
        <w:ind w:firstLine="720"/>
      </w:pPr>
      <w:r>
        <w:t>Portanto, ainda que os agentes de segurança sejam indicados como pessoas com os quais os vínculos se mantiveram, enfatiza-se que isso só aconteceu devido ao rompimento do contato com outras pessoas, como a equipe técnica e as próprias famílias. Caso as instituições tivessem conseguido estabelecer estratégias mais adequadas, que possibilitasse</w:t>
      </w:r>
      <w:r w:rsidR="00171685">
        <w:t>m</w:t>
      </w:r>
      <w:r>
        <w:t xml:space="preserve"> a manutenção dos vínculos prévios que os adolescentes já tinham, bem </w:t>
      </w:r>
      <w:r>
        <w:lastRenderedPageBreak/>
        <w:t>como o envolvimento nas atividades sócio pedagógicas, os agentes de segurança</w:t>
      </w:r>
      <w:r w:rsidR="00171685">
        <w:t xml:space="preserve"> talvez</w:t>
      </w:r>
      <w:r>
        <w:t xml:space="preserve"> não seriam apresentados como pessoas de destaque no convívio. </w:t>
      </w:r>
    </w:p>
    <w:p w14:paraId="3A2FC5A9" w14:textId="77777777" w:rsidR="00C33A41" w:rsidRDefault="007B3952">
      <w:pPr>
        <w:ind w:firstLine="720"/>
      </w:pPr>
      <w:r>
        <w:t>Diante de todo o exposto nessa assertiva, é importante afirmar que o próprio Estado, responsável maior pela qualidade do desenvolvimento da medida socioeducativa de internação, se configurou, de diferentes maneiras, como o principal fator de risco para os rompimentos dos vínculos sociais e relacionais dos adolescentes. Isso porque não interveio de forma adequada a realidade do sistema de internação e dos adolescentes nele inserido durante um evento como a pandemia do Covid-19. Dessa forma, descumpriu sua obrigação de garantir direitos e falhou em seu dever de proteger os adolescentes, produzindo um efeito cascata que pode impactar em diferentes níveis, tanto o presente, quanto o futuro dessa população.</w:t>
      </w:r>
    </w:p>
    <w:p w14:paraId="55BEA488" w14:textId="77777777" w:rsidR="00C33A41" w:rsidRDefault="00C33A41"/>
    <w:p w14:paraId="0DBAE1D5" w14:textId="77777777" w:rsidR="00C33A41" w:rsidRDefault="007B3952">
      <w:pPr>
        <w:jc w:val="center"/>
        <w:rPr>
          <w:b/>
        </w:rPr>
      </w:pPr>
      <w:r>
        <w:rPr>
          <w:b/>
        </w:rPr>
        <w:t>Assertiva 2</w:t>
      </w:r>
    </w:p>
    <w:p w14:paraId="5576557C" w14:textId="7483D3F1" w:rsidR="00C33A41" w:rsidRDefault="007B3952">
      <w:r>
        <w:tab/>
        <w:t>A segunda assertiva desta Tese refuta, inicialmente, a hipótese de que, para os adolescentes, a pandemia teria impactado suas expectativas futuras e projetos de vida. Entretanto, o que se identificou foi que</w:t>
      </w:r>
      <w:r w:rsidR="0061428A">
        <w:t>,</w:t>
      </w:r>
      <w:r>
        <w:t xml:space="preserve"> na percepção deles, a pandemia não provocou alterações em seus projetos de vida. Todavia, em um segundo momento isso deve ser compreendido devido ao fato de terem uma visão acrítica sobre um fenômeno como a pandemia</w:t>
      </w:r>
      <w:r w:rsidR="008A1E7D">
        <w:t>. Isso se dá, em parte,</w:t>
      </w:r>
      <w:r>
        <w:t xml:space="preserve"> em razão dos processos históricos de exclusão e marginalização que estiveram expostos. </w:t>
      </w:r>
    </w:p>
    <w:p w14:paraId="37BA5D39" w14:textId="1E4F72A3" w:rsidR="00C33A41" w:rsidRDefault="007B3952">
      <w:r>
        <w:tab/>
        <w:t>Os projetos e expectativas de futuro dos adolescentes, corroborando dados já identificados na literatura sobre adolescentes que infracionam, são direcionados quase que exclusivamente para o trabalho e acesso a bens materiais. Contudo, os mesmos afirma</w:t>
      </w:r>
      <w:r w:rsidR="00D31DA4">
        <w:t>ra</w:t>
      </w:r>
      <w:r>
        <w:t xml:space="preserve">m o impacto que a pandemia teve justamente no que se refere à inserção no mercado de trabalho, deles e de suas famílias. As medidas de contenção levaram diversos </w:t>
      </w:r>
      <w:r>
        <w:lastRenderedPageBreak/>
        <w:t xml:space="preserve">setores a paralisar ou diminuir consideravelmente suas atividades, retirando a possibilidade dos adolescentes e seus familiares de conseguir manter </w:t>
      </w:r>
      <w:r w:rsidR="00D31DA4">
        <w:t>os</w:t>
      </w:r>
      <w:r w:rsidR="008747ED">
        <w:t xml:space="preserve"> </w:t>
      </w:r>
      <w:r>
        <w:t>emprego</w:t>
      </w:r>
      <w:r w:rsidR="00D31DA4">
        <w:t>s e atividades laborais</w:t>
      </w:r>
      <w:r>
        <w:t xml:space="preserve"> durante um período da pandemia. Embora eles apontem essa característica, não a associam com alterações em seus projetos de vida. </w:t>
      </w:r>
    </w:p>
    <w:p w14:paraId="0397321F" w14:textId="77777777" w:rsidR="00C33A41" w:rsidRDefault="007B3952">
      <w:r>
        <w:tab/>
        <w:t>Os adolescentes que cumprem medidas socioeducativas têm um processo sócio-histórico de marginalização e, consequentemente, de diversas situações de exclusão. Dessa forma, a vida deles, mesmo antes da pandemia, já era perpassada por estressores que dificultam o desenvolvimento de projetos de vida. Mesmo as expectativas de futuro não são projetadas a longo prazo ou com temas que extrapolam o alcance de condições básicas como moradia e alimentação. Devido a isso, esses adolescentes podem não conseguir analisar em evento como a pandemia da covid e compreender de forma crítica os diversos reflexos que ela teve na vida de todas as pessoas, inclusive na deles.</w:t>
      </w:r>
    </w:p>
    <w:p w14:paraId="5A6A7DA4" w14:textId="757A359F" w:rsidR="00C33A41" w:rsidRDefault="007B3952">
      <w:r>
        <w:tab/>
        <w:t xml:space="preserve">Essa </w:t>
      </w:r>
      <w:proofErr w:type="spellStart"/>
      <w:r>
        <w:t>acriticidade</w:t>
      </w:r>
      <w:proofErr w:type="spellEnd"/>
      <w:r>
        <w:t xml:space="preserve"> é confirmada quando existe a identificação de metas e projetos pelos adolescentes, mas a mobilização no momento presente para alcançá-las não estão sendo viabilizadas ou executadas. As próprias rupturas sociais identificadas em suas vidas durante a pandemia já é um indicador de impacto e alterações nos projetos de vida. Porém, os adolescentes não conseguem perceber e articular impactos como: conseguir realizar sonhos profissionais, se a pandemia atrasou os seus processos de escolarização; adquirir os bens materiais, se o principal dificultador dos projetos de vida foi a falta de trabalho acentuada pela pandemia; ou construir suas próprias famílias</w:t>
      </w:r>
      <w:r w:rsidR="00B75602">
        <w:t>,</w:t>
      </w:r>
      <w:r>
        <w:t xml:space="preserve"> se verbalizam que a falta de emprego pode fazer com que eles voltem novamente para a criminalidade e diminua sua expectativa de vida devido ao risco.</w:t>
      </w:r>
    </w:p>
    <w:p w14:paraId="4262E720" w14:textId="4E06F296" w:rsidR="00C33A41" w:rsidRDefault="007B3952">
      <w:pPr>
        <w:ind w:firstLine="720"/>
      </w:pPr>
      <w:r>
        <w:t>A constante privação vivenciada ao longo do seu desenvolvimento, faz com que os adolescentes não consigam dimensionar esses aspectos de forma a notar seus atravessam</w:t>
      </w:r>
      <w:r w:rsidR="009E65ED">
        <w:t>entos</w:t>
      </w:r>
      <w:r>
        <w:t xml:space="preserve"> no futuro que almejam. Todavia, enfatiza-se a importância de superar o </w:t>
      </w:r>
      <w:r>
        <w:lastRenderedPageBreak/>
        <w:t>olhar individualizante de desenvolvimento de expectativas de futuro desses adolescentes. Ou seja, apenas os adolescentes terem metas não é o suficiente, e mesmo que eles de fato tivessem meios de ação para buscar realizá-las, sem os suportes institucionais esses projetos não seriam alcançados. Mas nesse ínterim, esses adolescentes não conseguem desenvolver essa percepção ou cobrar das instâncias cabíveis meios de superar essas dificuldades acentuadas pela pandemia.</w:t>
      </w:r>
    </w:p>
    <w:p w14:paraId="67499BB4" w14:textId="7B953A6E" w:rsidR="00C33A41" w:rsidRDefault="007B3952">
      <w:pPr>
        <w:ind w:firstLine="720"/>
      </w:pPr>
      <w:r>
        <w:t xml:space="preserve">Órgãos nacionais e internacionais têm indicado a urgente necessidade dos Estados em elaborarem políticas e intervenções que diminuam o impacto negativo da pandemia, especialmente em adolescentes. Quando se trata de adolescentes em situação de exclusão social, essa demanda se torna ainda mais iminente, para impedir que as desigualdades que os atingem perpetuem projetos de vida desfavoráveis a um desenvolvimento saudável. Dessa forma, para além de esperar que os adolescentes privados de liberdade tenham impreterivelmente projetos de vida, a sociedade precisa ofertar </w:t>
      </w:r>
      <w:r w:rsidR="00FF6D9F">
        <w:t>recursos</w:t>
      </w:r>
      <w:r>
        <w:t xml:space="preserve"> para que eles sejam de fato alcançados, por meio de garantia de direitos e desenvolvimento de tecnologias sociais que absorva os impactos que ainda irão reverberar da pandemia. </w:t>
      </w:r>
    </w:p>
    <w:p w14:paraId="0DE72382" w14:textId="77777777" w:rsidR="00C33A41" w:rsidRDefault="00C33A41">
      <w:pPr>
        <w:rPr>
          <w:b/>
        </w:rPr>
      </w:pPr>
    </w:p>
    <w:p w14:paraId="7749E0E7" w14:textId="77777777" w:rsidR="00C33A41" w:rsidRDefault="007B3952">
      <w:pPr>
        <w:jc w:val="center"/>
        <w:rPr>
          <w:b/>
        </w:rPr>
      </w:pPr>
      <w:r>
        <w:rPr>
          <w:b/>
        </w:rPr>
        <w:t>Limitações e Recomendações Futuras</w:t>
      </w:r>
    </w:p>
    <w:p w14:paraId="68460456" w14:textId="5FD50EDA" w:rsidR="00C33A41" w:rsidRDefault="007B3952">
      <w:r>
        <w:tab/>
        <w:t>Por fim, ressalta-se como limitação da pesquisa o modo de coleta transversal ao se analisar um fenômeno com</w:t>
      </w:r>
      <w:r w:rsidR="001C41F4">
        <w:t>o</w:t>
      </w:r>
      <w:r>
        <w:t xml:space="preserve"> a pandemia, que se desdobrou com uma temporalidade extensa e que se diversificou em vários momentos. O estudo aconteceu em um período em que a pandemia já se encontrava mais controlada e alguns dos mecanismos de contingenciamento já não estavam mais vigentes. Isso pode ter influenciado a percepção dos adolescentes sobre os diferentes desdobramentos que a pandemia apresentou. </w:t>
      </w:r>
    </w:p>
    <w:p w14:paraId="61215233" w14:textId="77777777" w:rsidR="00C33A41" w:rsidRDefault="007B3952">
      <w:pPr>
        <w:ind w:firstLine="720"/>
      </w:pPr>
      <w:r>
        <w:t xml:space="preserve">Além disso, por ser uma pesquisa transversal, foi possível um contato muito pontual com esses adolescentes, especialmente dentro das instituições de internação que </w:t>
      </w:r>
      <w:r>
        <w:lastRenderedPageBreak/>
        <w:t xml:space="preserve">constam com regras de acesso mais rígidas. Esses adolescentes já vivenciam sentimentos de desconfiança com profissionais dos sistemas que passam durante o cumprimento de medida, portanto, um contato maior para a coleta dos dados poderia também ter auxiliado no estabelecimento do vínculo e da confiança dos adolescentes para responderem aos instrumentos utilizados. </w:t>
      </w:r>
    </w:p>
    <w:p w14:paraId="565B4B23" w14:textId="3AB92AED" w:rsidR="00C33A41" w:rsidRDefault="007B3952">
      <w:pPr>
        <w:ind w:firstLine="720"/>
      </w:pPr>
      <w:r>
        <w:t xml:space="preserve">Dessa forma, como recomendações, é imprescindível que estudos futuros busquem avaliar longitudinalmente as influências que o período de pandemia vai deixar na vida dos adolescentes que foram privados de liberdade durante o pico desse fenômeno. Além disso, recomenda-se novos estudos que façam uso de outros instrumentos para a coleta de dados, visto que, o uso de questionários, por exemplo, limita o aprofundamento e uma compreensão mais </w:t>
      </w:r>
      <w:r w:rsidR="00EA6D14">
        <w:t>aprofundada</w:t>
      </w:r>
      <w:r>
        <w:t xml:space="preserve"> da</w:t>
      </w:r>
      <w:r w:rsidR="00EA6D14">
        <w:t>s trajetórias</w:t>
      </w:r>
      <w:r>
        <w:t xml:space="preserve"> dos participantes. Pesquisas participativas ou com metodologias mais interativas (como o uso de métodos visuais), poderiam ser estratégias que permitiram uma expansão melhor da percepção de adolescentes, por facilitar as diferentes formas de expressão. </w:t>
      </w:r>
    </w:p>
    <w:p w14:paraId="075E6B0A" w14:textId="77777777" w:rsidR="00C33A41" w:rsidRDefault="007B3952">
      <w:pPr>
        <w:ind w:firstLine="720"/>
      </w:pPr>
      <w:r>
        <w:t xml:space="preserve">Além disso, pesquisas que desenvolvam mecanismos interventivos podem ser recomendadas por serem meios de compreender ao mesmo tempo que auxiliam os adolescentes no desenvolvimento de capacidades psicossociais para construir projetos de vida factíveis. Por fim, as instituições acadêmicas, políticas e sociais devem encontrar meios de promover contextos ecológicos que abarquem as demandas sociais desses adolescentes já marcados pela exclusão social, de forma a possibilitar uma reinserção social efetiva e possibilitam mudanças na vida dessa população. </w:t>
      </w:r>
    </w:p>
    <w:p w14:paraId="4C3D12A2" w14:textId="77777777" w:rsidR="00C33A41" w:rsidRDefault="00C33A41">
      <w:pPr>
        <w:rPr>
          <w:b/>
        </w:rPr>
      </w:pPr>
    </w:p>
    <w:p w14:paraId="5E00ACF0" w14:textId="77777777" w:rsidR="00C33A41" w:rsidRDefault="00C33A41">
      <w:pPr>
        <w:rPr>
          <w:b/>
        </w:rPr>
      </w:pPr>
    </w:p>
    <w:p w14:paraId="5AF75617" w14:textId="77777777" w:rsidR="00C33A41" w:rsidRDefault="00C33A41">
      <w:pPr>
        <w:rPr>
          <w:b/>
        </w:rPr>
      </w:pPr>
    </w:p>
    <w:p w14:paraId="31061D46" w14:textId="77777777" w:rsidR="00C33A41" w:rsidRDefault="00C33A41" w:rsidP="008747ED">
      <w:pPr>
        <w:ind w:firstLine="0"/>
        <w:rPr>
          <w:b/>
        </w:rPr>
      </w:pPr>
    </w:p>
    <w:p w14:paraId="529DCE0F" w14:textId="77777777" w:rsidR="00C33A41" w:rsidRDefault="007B3952">
      <w:pPr>
        <w:pStyle w:val="Ttulo1"/>
      </w:pPr>
      <w:bookmarkStart w:id="62" w:name="_heading=h.xvir7l" w:colFirst="0" w:colLast="0"/>
      <w:bookmarkEnd w:id="62"/>
      <w:r>
        <w:lastRenderedPageBreak/>
        <w:t xml:space="preserve">REFERÊNCIAS </w:t>
      </w:r>
    </w:p>
    <w:p w14:paraId="0AF7082B" w14:textId="77777777" w:rsidR="00C33A41" w:rsidRDefault="007B3952">
      <w:pPr>
        <w:spacing w:line="240" w:lineRule="auto"/>
        <w:ind w:left="709" w:hanging="709"/>
      </w:pPr>
      <w:proofErr w:type="spellStart"/>
      <w:r>
        <w:t>Acayaba</w:t>
      </w:r>
      <w:proofErr w:type="spellEnd"/>
      <w:r>
        <w:t xml:space="preserve">, C. (2022). </w:t>
      </w:r>
      <w:r>
        <w:rPr>
          <w:i/>
        </w:rPr>
        <w:t>Estado de SP e Fundação Casa são condenados a pagar indenização de R$ 3 milhões por tortura e maus-tratos contra adolescentes</w:t>
      </w:r>
      <w:r>
        <w:t xml:space="preserve">. G1. Recuperado de: </w:t>
      </w:r>
      <w:hyperlink r:id="rId18">
        <w:r>
          <w:t>https://g1.globo.com/sp/sao-paulo/noticia/2022/07/22/estado-de-sp-e-fundacao-casa-sao-condenados-a-pagar-indenizacao-de-r-3-milhoes-por-tortura-e-maus-tratos-contra-adolescentes.ghtml</w:t>
        </w:r>
      </w:hyperlink>
      <w:r>
        <w:t>. Acesso em: 25 fev. 2023.</w:t>
      </w:r>
    </w:p>
    <w:p w14:paraId="4201109E" w14:textId="77777777" w:rsidR="00C33A41" w:rsidRDefault="007B3952">
      <w:pPr>
        <w:spacing w:line="240" w:lineRule="auto"/>
        <w:ind w:left="709" w:hanging="709"/>
      </w:pPr>
      <w:r>
        <w:t xml:space="preserve">Alliance for </w:t>
      </w:r>
      <w:proofErr w:type="spellStart"/>
      <w:r>
        <w:t>Child</w:t>
      </w:r>
      <w:proofErr w:type="spellEnd"/>
      <w:r>
        <w:t xml:space="preserve"> </w:t>
      </w:r>
      <w:proofErr w:type="spellStart"/>
      <w:r>
        <w:t>Protection</w:t>
      </w:r>
      <w:proofErr w:type="spellEnd"/>
      <w:r>
        <w:t xml:space="preserve"> in </w:t>
      </w:r>
      <w:proofErr w:type="spellStart"/>
      <w:r>
        <w:t>Humanitarian</w:t>
      </w:r>
      <w:proofErr w:type="spellEnd"/>
      <w:r>
        <w:t xml:space="preserve"> </w:t>
      </w:r>
      <w:proofErr w:type="spellStart"/>
      <w:r>
        <w:t>Action</w:t>
      </w:r>
      <w:proofErr w:type="spellEnd"/>
      <w:r>
        <w:t xml:space="preserve">. (2020). </w:t>
      </w:r>
      <w:r>
        <w:rPr>
          <w:i/>
        </w:rPr>
        <w:t>Proteção de crianças e adolescentes durante a pandemia de Covid-19: Crianças, adolescentes e cuidados alternativos</w:t>
      </w:r>
      <w:r>
        <w:t>. Recuperado de</w:t>
      </w:r>
      <w:hyperlink r:id="rId19">
        <w:r>
          <w:t xml:space="preserve"> https://resourcecentre.savethechildren.net/node/17330/pdf/covid-19_tn_portuguese.pdf</w:t>
        </w:r>
      </w:hyperlink>
      <w:r>
        <w:t>. Acesso em: 25 fev. 2023</w:t>
      </w:r>
    </w:p>
    <w:p w14:paraId="3DE763AD" w14:textId="77777777" w:rsidR="00C33A41" w:rsidRDefault="007B3952">
      <w:pPr>
        <w:spacing w:line="240" w:lineRule="auto"/>
        <w:ind w:left="709" w:hanging="709"/>
      </w:pPr>
      <w:r>
        <w:t xml:space="preserve">Azevedo, C. R. S., Amorim, T. R. de S., &amp; Alberto, M. de F. P. (2017). Adolescência e Ato Infracional: Violência Institucional e Subjetividade em Foco. </w:t>
      </w:r>
      <w:r>
        <w:rPr>
          <w:i/>
        </w:rPr>
        <w:t>Psicologia: Ciência e Profissão, 37</w:t>
      </w:r>
      <w:r>
        <w:t xml:space="preserve">(3), 579-594. </w:t>
      </w:r>
      <w:hyperlink r:id="rId20">
        <w:r>
          <w:rPr>
            <w:color w:val="0563C1"/>
            <w:u w:val="single"/>
          </w:rPr>
          <w:t>https://dx.doi.org/10.1590/1982-3703003312016</w:t>
        </w:r>
      </w:hyperlink>
      <w:r>
        <w:t xml:space="preserve"> </w:t>
      </w:r>
    </w:p>
    <w:p w14:paraId="70E7BB5C" w14:textId="77777777" w:rsidR="00C33A41" w:rsidRDefault="007B3952">
      <w:pPr>
        <w:spacing w:line="240" w:lineRule="auto"/>
        <w:ind w:left="709" w:hanging="709"/>
      </w:pPr>
      <w:proofErr w:type="spellStart"/>
      <w:r>
        <w:t>Balbinot</w:t>
      </w:r>
      <w:proofErr w:type="spellEnd"/>
      <w:r>
        <w:t xml:space="preserve">, C., </w:t>
      </w:r>
      <w:proofErr w:type="spellStart"/>
      <w:r>
        <w:t>Coscioni</w:t>
      </w:r>
      <w:proofErr w:type="spellEnd"/>
      <w:r>
        <w:t xml:space="preserve">, V., Rosa, E. M., &amp; </w:t>
      </w:r>
      <w:proofErr w:type="spellStart"/>
      <w:r>
        <w:t>Koller</w:t>
      </w:r>
      <w:proofErr w:type="spellEnd"/>
      <w:r>
        <w:t xml:space="preserve">, S. H. (2022). O convívio entre adolescentes em medida socioeducativa de internação. </w:t>
      </w:r>
      <w:r>
        <w:rPr>
          <w:i/>
        </w:rPr>
        <w:t>Psicologia Em Estudo, 27</w:t>
      </w:r>
      <w:r>
        <w:t xml:space="preserve">, e48317. </w:t>
      </w:r>
      <w:hyperlink r:id="rId21">
        <w:r>
          <w:rPr>
            <w:color w:val="0563C1"/>
            <w:u w:val="single"/>
          </w:rPr>
          <w:t>https://doi.org/10.4025/psicolestud.v27i0.48317</w:t>
        </w:r>
      </w:hyperlink>
      <w:r>
        <w:t xml:space="preserve"> </w:t>
      </w:r>
    </w:p>
    <w:p w14:paraId="050BBE9F" w14:textId="77777777" w:rsidR="00C33A41" w:rsidRDefault="007B3952">
      <w:pPr>
        <w:spacing w:line="240" w:lineRule="auto"/>
        <w:ind w:left="709" w:hanging="709"/>
      </w:pPr>
      <w:proofErr w:type="spellStart"/>
      <w:r>
        <w:t>Banati</w:t>
      </w:r>
      <w:proofErr w:type="spellEnd"/>
      <w:r>
        <w:t xml:space="preserve">, P., Jones, N. &amp; Youssef, S. (2020). </w:t>
      </w:r>
      <w:proofErr w:type="spellStart"/>
      <w:r>
        <w:t>Intersecting</w:t>
      </w:r>
      <w:proofErr w:type="spellEnd"/>
      <w:r>
        <w:t xml:space="preserve"> </w:t>
      </w:r>
      <w:proofErr w:type="spellStart"/>
      <w:r>
        <w:t>Vulnerabilities</w:t>
      </w:r>
      <w:proofErr w:type="spellEnd"/>
      <w:r>
        <w:t xml:space="preserve">: The </w:t>
      </w:r>
      <w:proofErr w:type="spellStart"/>
      <w:r>
        <w:t>Impacts</w:t>
      </w:r>
      <w:proofErr w:type="spellEnd"/>
      <w:r>
        <w:t xml:space="preserve"> </w:t>
      </w:r>
      <w:proofErr w:type="spellStart"/>
      <w:r>
        <w:t>of</w:t>
      </w:r>
      <w:proofErr w:type="spellEnd"/>
      <w:r>
        <w:t xml:space="preserve"> COVID-19 </w:t>
      </w:r>
      <w:proofErr w:type="spellStart"/>
      <w:r>
        <w:t>on</w:t>
      </w:r>
      <w:proofErr w:type="spellEnd"/>
      <w:r>
        <w:t xml:space="preserve"> the </w:t>
      </w:r>
      <w:proofErr w:type="spellStart"/>
      <w:r>
        <w:t>Psycho-emotional</w:t>
      </w:r>
      <w:proofErr w:type="spellEnd"/>
      <w:r>
        <w:t xml:space="preserve"> </w:t>
      </w:r>
      <w:proofErr w:type="spellStart"/>
      <w:r>
        <w:t>Lives</w:t>
      </w:r>
      <w:proofErr w:type="spellEnd"/>
      <w:r>
        <w:t xml:space="preserve"> </w:t>
      </w:r>
      <w:proofErr w:type="spellStart"/>
      <w:r>
        <w:t>of</w:t>
      </w:r>
      <w:proofErr w:type="spellEnd"/>
      <w:r>
        <w:t xml:space="preserve"> Young People in </w:t>
      </w:r>
      <w:proofErr w:type="spellStart"/>
      <w:r>
        <w:t>Low</w:t>
      </w:r>
      <w:proofErr w:type="spellEnd"/>
      <w:r>
        <w:t xml:space="preserve">- </w:t>
      </w:r>
      <w:proofErr w:type="spellStart"/>
      <w:r>
        <w:t>and</w:t>
      </w:r>
      <w:proofErr w:type="spellEnd"/>
      <w:r>
        <w:t xml:space="preserve"> Middle-Income Countries. </w:t>
      </w:r>
      <w:proofErr w:type="spellStart"/>
      <w:r>
        <w:rPr>
          <w:i/>
        </w:rPr>
        <w:t>Eur</w:t>
      </w:r>
      <w:proofErr w:type="spellEnd"/>
      <w:r>
        <w:rPr>
          <w:i/>
        </w:rPr>
        <w:t xml:space="preserve"> J </w:t>
      </w:r>
      <w:proofErr w:type="spellStart"/>
      <w:r>
        <w:rPr>
          <w:i/>
        </w:rPr>
        <w:t>Dev</w:t>
      </w:r>
      <w:proofErr w:type="spellEnd"/>
      <w:r>
        <w:rPr>
          <w:i/>
        </w:rPr>
        <w:t xml:space="preserve"> Res 32</w:t>
      </w:r>
      <w:r>
        <w:t>, 1613–1638.</w:t>
      </w:r>
      <w:hyperlink r:id="rId22">
        <w:r>
          <w:t xml:space="preserve"> https://doi.org/10.1057/s41287-020-00325-5</w:t>
        </w:r>
      </w:hyperlink>
      <w:r>
        <w:t xml:space="preserve"> </w:t>
      </w:r>
    </w:p>
    <w:p w14:paraId="2E9C9987" w14:textId="77777777" w:rsidR="00C33A41" w:rsidRDefault="007B3952">
      <w:pPr>
        <w:spacing w:line="240" w:lineRule="auto"/>
        <w:ind w:left="709" w:hanging="709"/>
        <w:rPr>
          <w:color w:val="000000"/>
        </w:rPr>
      </w:pPr>
      <w:proofErr w:type="spellStart"/>
      <w:r>
        <w:t>Baquero</w:t>
      </w:r>
      <w:proofErr w:type="spellEnd"/>
      <w:r>
        <w:t xml:space="preserve">, R. V. A., Lemes, M. A. &amp; Santos, E. A. (2011). Histórias de vida de jovens egressos de medidas socioeducativas: entre a margem e a superação. </w:t>
      </w:r>
      <w:r>
        <w:rPr>
          <w:i/>
        </w:rPr>
        <w:t>Educação</w:t>
      </w:r>
      <w:r>
        <w:t xml:space="preserve">, </w:t>
      </w:r>
      <w:r>
        <w:rPr>
          <w:i/>
        </w:rPr>
        <w:t>34</w:t>
      </w:r>
      <w:r>
        <w:t xml:space="preserve">(3), 341-350. Recuperado de </w:t>
      </w:r>
      <w:hyperlink r:id="rId23">
        <w:r>
          <w:rPr>
            <w:color w:val="000000"/>
            <w:u w:val="single"/>
          </w:rPr>
          <w:t>http://revistaseletronicas.pucrs.br/ojs/index.php/faced/article/view/7618/6784</w:t>
        </w:r>
      </w:hyperlink>
      <w:r>
        <w:rPr>
          <w:color w:val="0563C1"/>
          <w:u w:val="single"/>
        </w:rPr>
        <w:t xml:space="preserve">. </w:t>
      </w:r>
      <w:r>
        <w:rPr>
          <w:color w:val="000000"/>
        </w:rPr>
        <w:t>Acesso em: 17 mar. 2023.</w:t>
      </w:r>
    </w:p>
    <w:p w14:paraId="48BA999F" w14:textId="77777777" w:rsidR="00C33A41" w:rsidRDefault="007B3952">
      <w:pPr>
        <w:spacing w:line="240" w:lineRule="auto"/>
        <w:ind w:left="709" w:hanging="709"/>
        <w:rPr>
          <w:color w:val="000000"/>
          <w:u w:val="single"/>
        </w:rPr>
      </w:pPr>
      <w:r>
        <w:rPr>
          <w:color w:val="000000"/>
        </w:rPr>
        <w:t xml:space="preserve">Barbosa, M. D. S., Sandes, M. B., &amp; Fernandes, M. N. (2022). A realidade do Centro de Atendimento Socioeducativo (CASE) de Palmas – TO: a limitação do direito familiar no contexto pandêmico. </w:t>
      </w:r>
      <w:r>
        <w:rPr>
          <w:i/>
          <w:color w:val="000000"/>
        </w:rPr>
        <w:t>Revista Cocar, Ed. Especial,</w:t>
      </w:r>
      <w:r>
        <w:rPr>
          <w:color w:val="000000"/>
        </w:rPr>
        <w:t xml:space="preserve"> (12), p. 1-20. Recuperado de</w:t>
      </w:r>
      <w:r>
        <w:rPr>
          <w:color w:val="000000"/>
          <w:u w:val="single"/>
        </w:rPr>
        <w:t xml:space="preserve"> </w:t>
      </w:r>
      <w:hyperlink r:id="rId24">
        <w:r>
          <w:rPr>
            <w:color w:val="0563C1"/>
            <w:u w:val="single"/>
          </w:rPr>
          <w:t>https://periodicos.uepa.br/index.php/cocar/article/view/4787</w:t>
        </w:r>
      </w:hyperlink>
      <w:r>
        <w:rPr>
          <w:color w:val="000000"/>
          <w:u w:val="single"/>
        </w:rPr>
        <w:t xml:space="preserve"> </w:t>
      </w:r>
    </w:p>
    <w:p w14:paraId="39A450D6" w14:textId="77777777" w:rsidR="00C33A41" w:rsidRDefault="007B3952">
      <w:pPr>
        <w:spacing w:line="240" w:lineRule="auto"/>
        <w:ind w:left="709" w:hanging="709"/>
      </w:pPr>
      <w:proofErr w:type="spellStart"/>
      <w:r>
        <w:t>Benelli</w:t>
      </w:r>
      <w:proofErr w:type="spellEnd"/>
      <w:r>
        <w:t xml:space="preserve">, S. J. (2014). </w:t>
      </w:r>
      <w:r>
        <w:rPr>
          <w:i/>
        </w:rPr>
        <w:t>Entidades assistenciais socioeducativas: a trama institucional</w:t>
      </w:r>
      <w:r>
        <w:t>. Petrópolis, RJ: Vozes.</w:t>
      </w:r>
    </w:p>
    <w:p w14:paraId="6FBE070B" w14:textId="77777777" w:rsidR="00C33A41" w:rsidRDefault="007B3952">
      <w:pPr>
        <w:spacing w:line="240" w:lineRule="auto"/>
        <w:ind w:left="709" w:hanging="709"/>
      </w:pPr>
      <w:proofErr w:type="spellStart"/>
      <w:r>
        <w:t>Berniell</w:t>
      </w:r>
      <w:proofErr w:type="spellEnd"/>
      <w:r>
        <w:t xml:space="preserve">, L., &amp; Fernandez, D. (2021). Jobs’ </w:t>
      </w:r>
      <w:proofErr w:type="spellStart"/>
      <w:r>
        <w:t>amenability</w:t>
      </w:r>
      <w:proofErr w:type="spellEnd"/>
      <w:r>
        <w:t xml:space="preserve"> </w:t>
      </w:r>
      <w:proofErr w:type="spellStart"/>
      <w:r>
        <w:t>is</w:t>
      </w:r>
      <w:proofErr w:type="spellEnd"/>
      <w:r>
        <w:t xml:space="preserve"> </w:t>
      </w:r>
      <w:proofErr w:type="spellStart"/>
      <w:r>
        <w:t>not</w:t>
      </w:r>
      <w:proofErr w:type="spellEnd"/>
      <w:r>
        <w:t xml:space="preserve"> </w:t>
      </w:r>
      <w:proofErr w:type="spellStart"/>
      <w:r>
        <w:t>enough</w:t>
      </w:r>
      <w:proofErr w:type="spellEnd"/>
      <w:r>
        <w:t xml:space="preserve">: The role </w:t>
      </w:r>
      <w:proofErr w:type="spellStart"/>
      <w:r>
        <w:t>of</w:t>
      </w:r>
      <w:proofErr w:type="spellEnd"/>
      <w:r>
        <w:t xml:space="preserve"> </w:t>
      </w:r>
      <w:proofErr w:type="spellStart"/>
      <w:r>
        <w:t>household</w:t>
      </w:r>
      <w:proofErr w:type="spellEnd"/>
      <w:r>
        <w:t xml:space="preserve"> inputs for safe </w:t>
      </w:r>
      <w:proofErr w:type="spellStart"/>
      <w:r>
        <w:t>work</w:t>
      </w:r>
      <w:proofErr w:type="spellEnd"/>
      <w:r>
        <w:t xml:space="preserve"> </w:t>
      </w:r>
      <w:proofErr w:type="spellStart"/>
      <w:r>
        <w:t>under</w:t>
      </w:r>
      <w:proofErr w:type="spellEnd"/>
      <w:r>
        <w:t xml:space="preserve"> social </w:t>
      </w:r>
      <w:proofErr w:type="spellStart"/>
      <w:r>
        <w:t>distancing</w:t>
      </w:r>
      <w:proofErr w:type="spellEnd"/>
      <w:r>
        <w:t xml:space="preserve"> in </w:t>
      </w:r>
      <w:proofErr w:type="spellStart"/>
      <w:r>
        <w:t>Latin</w:t>
      </w:r>
      <w:proofErr w:type="spellEnd"/>
      <w:r>
        <w:t xml:space="preserve"> American </w:t>
      </w:r>
      <w:proofErr w:type="spellStart"/>
      <w:r>
        <w:t>cities</w:t>
      </w:r>
      <w:proofErr w:type="spellEnd"/>
      <w:r>
        <w:t xml:space="preserve">. </w:t>
      </w:r>
      <w:r>
        <w:rPr>
          <w:i/>
        </w:rPr>
        <w:t xml:space="preserve">World </w:t>
      </w:r>
      <w:proofErr w:type="spellStart"/>
      <w:r>
        <w:rPr>
          <w:i/>
        </w:rPr>
        <w:t>Development</w:t>
      </w:r>
      <w:proofErr w:type="spellEnd"/>
      <w:r>
        <w:rPr>
          <w:i/>
        </w:rPr>
        <w:t>, 140</w:t>
      </w:r>
      <w:r>
        <w:t xml:space="preserve">, 105247. </w:t>
      </w:r>
      <w:hyperlink r:id="rId25">
        <w:r>
          <w:rPr>
            <w:color w:val="0563C1"/>
            <w:u w:val="single"/>
          </w:rPr>
          <w:t>https://doi.org/10.1016/j.worlddev.2020.105247</w:t>
        </w:r>
      </w:hyperlink>
      <w:r>
        <w:t xml:space="preserve"> </w:t>
      </w:r>
    </w:p>
    <w:p w14:paraId="68212103" w14:textId="77777777" w:rsidR="00C33A41" w:rsidRDefault="007B3952">
      <w:pPr>
        <w:spacing w:line="240" w:lineRule="auto"/>
        <w:ind w:left="709" w:hanging="709"/>
      </w:pPr>
      <w:proofErr w:type="spellStart"/>
      <w:r>
        <w:rPr>
          <w:rFonts w:eastAsia="Times New Roman" w:cs="Times New Roman"/>
          <w:color w:val="000000"/>
        </w:rPr>
        <w:t>Bhering</w:t>
      </w:r>
      <w:proofErr w:type="spellEnd"/>
      <w:r>
        <w:rPr>
          <w:rFonts w:eastAsia="Times New Roman" w:cs="Times New Roman"/>
          <w:color w:val="000000"/>
        </w:rPr>
        <w:t xml:space="preserve">, E., &amp; </w:t>
      </w:r>
      <w:proofErr w:type="spellStart"/>
      <w:r>
        <w:rPr>
          <w:rFonts w:eastAsia="Times New Roman" w:cs="Times New Roman"/>
          <w:color w:val="000000"/>
        </w:rPr>
        <w:t>Sarkis</w:t>
      </w:r>
      <w:proofErr w:type="spellEnd"/>
      <w:r>
        <w:rPr>
          <w:rFonts w:eastAsia="Times New Roman" w:cs="Times New Roman"/>
          <w:color w:val="000000"/>
        </w:rPr>
        <w:t>, A. (2009).</w:t>
      </w:r>
      <w:r>
        <w:rPr>
          <w:rFonts w:eastAsia="Times New Roman" w:cs="Times New Roman"/>
          <w:b/>
          <w:color w:val="000000"/>
        </w:rPr>
        <w:t xml:space="preserve"> </w:t>
      </w:r>
      <w:r>
        <w:rPr>
          <w:color w:val="000000"/>
        </w:rPr>
        <w:t xml:space="preserve">Modelo </w:t>
      </w:r>
      <w:proofErr w:type="spellStart"/>
      <w:r>
        <w:rPr>
          <w:color w:val="000000"/>
        </w:rPr>
        <w:t>bioecológico</w:t>
      </w:r>
      <w:proofErr w:type="spellEnd"/>
      <w:r>
        <w:rPr>
          <w:color w:val="000000"/>
        </w:rPr>
        <w:t xml:space="preserve"> do desenvolvimento de Bronfenbrenner: implicações para as pesquisas na área da Educação Infantil. </w:t>
      </w:r>
      <w:r>
        <w:rPr>
          <w:i/>
          <w:color w:val="000000"/>
        </w:rPr>
        <w:t>Horizontes, 27</w:t>
      </w:r>
      <w:r>
        <w:rPr>
          <w:color w:val="000000"/>
        </w:rPr>
        <w:t xml:space="preserve">(2), 7-20. </w:t>
      </w:r>
      <w:hyperlink r:id="rId26">
        <w:r>
          <w:rPr>
            <w:color w:val="0563C1"/>
            <w:u w:val="single"/>
          </w:rPr>
          <w:t>https://arquivos.info.ufrn.br/arquivos/2015189080a8032460690d90e8a67354a/1-Modelo_bioecolo769gico_do_desenvolvimento_de_Bronfenbrenner_-_implicac807.pdf</w:t>
        </w:r>
      </w:hyperlink>
      <w:r>
        <w:rPr>
          <w:color w:val="000000"/>
        </w:rPr>
        <w:t>. Acesso em: 15 fev. 2022.</w:t>
      </w:r>
    </w:p>
    <w:p w14:paraId="59FC5F35" w14:textId="77777777" w:rsidR="00C33A41" w:rsidRDefault="007B3952">
      <w:pPr>
        <w:spacing w:line="240" w:lineRule="auto"/>
        <w:ind w:left="709" w:hanging="709"/>
      </w:pPr>
      <w:proofErr w:type="spellStart"/>
      <w:r>
        <w:t>Boito</w:t>
      </w:r>
      <w:proofErr w:type="spellEnd"/>
      <w:r>
        <w:t xml:space="preserve">, A. (2020). Neofascismo e neoliberalismo no Brasil do Governo Bolsonaro. </w:t>
      </w:r>
      <w:r>
        <w:rPr>
          <w:i/>
        </w:rPr>
        <w:t xml:space="preserve">Revista Observatório </w:t>
      </w:r>
      <w:proofErr w:type="spellStart"/>
      <w:r>
        <w:rPr>
          <w:i/>
        </w:rPr>
        <w:t>Latinoamericano</w:t>
      </w:r>
      <w:proofErr w:type="spellEnd"/>
      <w:r>
        <w:rPr>
          <w:i/>
        </w:rPr>
        <w:t xml:space="preserve"> y </w:t>
      </w:r>
      <w:proofErr w:type="spellStart"/>
      <w:r>
        <w:rPr>
          <w:i/>
        </w:rPr>
        <w:t>Caribeño</w:t>
      </w:r>
      <w:proofErr w:type="spellEnd"/>
      <w:r>
        <w:rPr>
          <w:i/>
        </w:rPr>
        <w:t>, 4</w:t>
      </w:r>
      <w:r>
        <w:t xml:space="preserve">(2), 8-30. Recuperado de: </w:t>
      </w:r>
      <w:hyperlink r:id="rId27">
        <w:r>
          <w:rPr>
            <w:color w:val="0563C1"/>
            <w:u w:val="single"/>
          </w:rPr>
          <w:t>https://publicaciones.sociales.uba.ar/index.php/observatoriolatinoamericano/article/view/6026/5719#</w:t>
        </w:r>
      </w:hyperlink>
      <w:r>
        <w:t xml:space="preserve"> </w:t>
      </w:r>
    </w:p>
    <w:p w14:paraId="41DD5C68" w14:textId="77777777" w:rsidR="00C33A41" w:rsidRDefault="007B3952">
      <w:pPr>
        <w:spacing w:line="240" w:lineRule="auto"/>
        <w:ind w:left="709" w:hanging="709"/>
      </w:pPr>
      <w:r>
        <w:rPr>
          <w:color w:val="222222"/>
        </w:rPr>
        <w:t xml:space="preserve">Bomfim, N. R., &amp; </w:t>
      </w:r>
      <w:proofErr w:type="spellStart"/>
      <w:r>
        <w:rPr>
          <w:color w:val="222222"/>
        </w:rPr>
        <w:t>Suzart</w:t>
      </w:r>
      <w:proofErr w:type="spellEnd"/>
      <w:r>
        <w:rPr>
          <w:color w:val="222222"/>
        </w:rPr>
        <w:t>, N. S. (2021). Entrelaces entre o projeto de vida e o acesso universitário de jovens de periferias. </w:t>
      </w:r>
      <w:r>
        <w:rPr>
          <w:i/>
          <w:color w:val="222222"/>
        </w:rPr>
        <w:t xml:space="preserve">Revista Brasileira De Pesquisa </w:t>
      </w:r>
      <w:r>
        <w:rPr>
          <w:i/>
          <w:color w:val="222222"/>
        </w:rPr>
        <w:lastRenderedPageBreak/>
        <w:t>(Auto)biográfica</w:t>
      </w:r>
      <w:r>
        <w:rPr>
          <w:color w:val="222222"/>
        </w:rPr>
        <w:t>, </w:t>
      </w:r>
      <w:r>
        <w:rPr>
          <w:i/>
          <w:color w:val="222222"/>
        </w:rPr>
        <w:t>6</w:t>
      </w:r>
      <w:r>
        <w:rPr>
          <w:color w:val="222222"/>
        </w:rPr>
        <w:t xml:space="preserve">(18), 774–789. </w:t>
      </w:r>
      <w:hyperlink r:id="rId28">
        <w:r>
          <w:rPr>
            <w:color w:val="0563C1"/>
            <w:u w:val="single"/>
          </w:rPr>
          <w:t>https://doi.org/10.31892/rbpab2525-426X.2021.v6.n18.p774-789</w:t>
        </w:r>
      </w:hyperlink>
      <w:r>
        <w:rPr>
          <w:color w:val="222222"/>
        </w:rPr>
        <w:t xml:space="preserve"> </w:t>
      </w:r>
    </w:p>
    <w:p w14:paraId="642EC7B0" w14:textId="77777777" w:rsidR="00C33A41" w:rsidRDefault="007B3952">
      <w:pPr>
        <w:spacing w:line="240" w:lineRule="auto"/>
        <w:ind w:left="709" w:hanging="709"/>
      </w:pPr>
      <w:r>
        <w:t xml:space="preserve">Bueno, F. T. C., Souto, E. P., &amp; Matta, G. C. (2021). Notas sobre a Trajetória da Covid-19 no Brasil. In Matta, G.C., Rego, S., Souto, E.P., &amp; Segata, J., (eds.) </w:t>
      </w:r>
      <w:r>
        <w:rPr>
          <w:i/>
        </w:rPr>
        <w:t>Os impactos sociais da Covid-19 no Brasil: populações vulnerabilizadas e respostas à pandemia</w:t>
      </w:r>
      <w:r>
        <w:t xml:space="preserve"> [online] (pp.27-39). Rio de Janeiro: Observatório Covid 19; Editora FIOCRUZ, p. 221. </w:t>
      </w:r>
      <w:hyperlink r:id="rId29">
        <w:r>
          <w:rPr>
            <w:color w:val="1155CC"/>
            <w:u w:val="single"/>
          </w:rPr>
          <w:t>https://doi.org/10.7476/9786557080320</w:t>
        </w:r>
      </w:hyperlink>
      <w:r>
        <w:t>.</w:t>
      </w:r>
    </w:p>
    <w:p w14:paraId="71AF96D5" w14:textId="77777777" w:rsidR="00C33A41" w:rsidRDefault="007B3952">
      <w:pPr>
        <w:spacing w:line="240" w:lineRule="auto"/>
        <w:ind w:left="709" w:hanging="709"/>
      </w:pPr>
      <w:r>
        <w:t xml:space="preserve">Brasil. (1988). </w:t>
      </w:r>
      <w:r>
        <w:rPr>
          <w:i/>
          <w:color w:val="172938"/>
          <w:highlight w:val="white"/>
        </w:rPr>
        <w:t>Constituição da República Federativa do Brasil de 1988</w:t>
      </w:r>
      <w:r>
        <w:rPr>
          <w:color w:val="172938"/>
          <w:highlight w:val="white"/>
        </w:rPr>
        <w:t>. Brasília, DF: Presidente da República. Recuperado de: </w:t>
      </w:r>
      <w:hyperlink r:id="rId30">
        <w:r>
          <w:rPr>
            <w:color w:val="2C67CD"/>
            <w:highlight w:val="white"/>
            <w:u w:val="single"/>
          </w:rPr>
          <w:t>http://www.planalto.gov.br/ccivil_03/constituicao/constituicao.htm</w:t>
        </w:r>
      </w:hyperlink>
      <w:r>
        <w:rPr>
          <w:color w:val="172938"/>
          <w:highlight w:val="white"/>
        </w:rPr>
        <w:t>. Acesso em: 02 fev. 2021.</w:t>
      </w:r>
    </w:p>
    <w:p w14:paraId="783A58CB" w14:textId="77777777" w:rsidR="00C33A41" w:rsidRDefault="007B3952">
      <w:pPr>
        <w:spacing w:line="240" w:lineRule="auto"/>
        <w:ind w:left="709" w:hanging="709"/>
      </w:pPr>
      <w:r>
        <w:t xml:space="preserve">Brasil. (2006). </w:t>
      </w:r>
      <w:r>
        <w:rPr>
          <w:i/>
        </w:rPr>
        <w:t>Sistema Nacional De Atendimento Socioeducativo - SINASE</w:t>
      </w:r>
      <w:r>
        <w:t xml:space="preserve">. Secretaria Especial dos Direitos Humanos – Brasília-DF: CONANDA. Recuperado de: </w:t>
      </w:r>
      <w:hyperlink r:id="rId31">
        <w:r>
          <w:rPr>
            <w:color w:val="0563C1"/>
            <w:u w:val="single"/>
          </w:rPr>
          <w:t>https://crianca.mppr.mp.br/arquivos/File/publi/conanda/sinase_integra.pdf</w:t>
        </w:r>
      </w:hyperlink>
      <w:r>
        <w:t>. Acesso em: 25 mar. 2022.</w:t>
      </w:r>
    </w:p>
    <w:p w14:paraId="716D67D8" w14:textId="77777777" w:rsidR="00C33A41" w:rsidRDefault="007B3952">
      <w:pPr>
        <w:spacing w:line="240" w:lineRule="auto"/>
        <w:ind w:left="709" w:hanging="709"/>
      </w:pPr>
      <w:r>
        <w:t xml:space="preserve">Brasil. (2019). Levantamento Anual SINASE 2017. Brasília: Ministério da Mulher, da Família e dos Direitos Humanos. Recuperado de: </w:t>
      </w:r>
      <w:hyperlink r:id="rId32">
        <w:r>
          <w:rPr>
            <w:color w:val="0563C1"/>
            <w:u w:val="single"/>
          </w:rPr>
          <w:t>https://www.gov.br/mdh/pt-br/navegue-por-temas/crianca-e-adolescente/LevantamentoAnualdoSINASE2017.pdf</w:t>
        </w:r>
      </w:hyperlink>
      <w:r>
        <w:t>. Acesso em: 18 ago. 2022.</w:t>
      </w:r>
    </w:p>
    <w:p w14:paraId="0D35AC4D" w14:textId="77777777" w:rsidR="00C33A41" w:rsidRDefault="007B3952">
      <w:pPr>
        <w:spacing w:line="240" w:lineRule="auto"/>
        <w:ind w:left="709" w:hanging="709"/>
      </w:pPr>
      <w:r>
        <w:t xml:space="preserve">Brasil. (2020). </w:t>
      </w:r>
      <w:r>
        <w:rPr>
          <w:i/>
        </w:rPr>
        <w:t>COVID19: Painel Coronavírus</w:t>
      </w:r>
      <w:r>
        <w:t xml:space="preserve">. Secretarias Estaduais de Saúde. Recuperado de: </w:t>
      </w:r>
      <w:hyperlink r:id="rId33">
        <w:r>
          <w:t>https://covid.saude.gov.br/</w:t>
        </w:r>
      </w:hyperlink>
      <w:r>
        <w:t xml:space="preserve"> </w:t>
      </w:r>
    </w:p>
    <w:p w14:paraId="5F1FCFED" w14:textId="77777777" w:rsidR="00C33A41" w:rsidRDefault="007B3952">
      <w:pPr>
        <w:spacing w:line="240" w:lineRule="auto"/>
        <w:ind w:left="709" w:hanging="709"/>
      </w:pPr>
      <w:r>
        <w:t xml:space="preserve">Braun, V., &amp; Clarke, V. (2006). </w:t>
      </w:r>
      <w:proofErr w:type="spellStart"/>
      <w:r>
        <w:t>Using</w:t>
      </w:r>
      <w:proofErr w:type="spellEnd"/>
      <w:r>
        <w:t xml:space="preserve"> </w:t>
      </w:r>
      <w:proofErr w:type="spellStart"/>
      <w:r>
        <w:t>thematic</w:t>
      </w:r>
      <w:proofErr w:type="spellEnd"/>
      <w:r>
        <w:t xml:space="preserve"> </w:t>
      </w:r>
      <w:proofErr w:type="spellStart"/>
      <w:r>
        <w:t>analysis</w:t>
      </w:r>
      <w:proofErr w:type="spellEnd"/>
      <w:r>
        <w:t xml:space="preserve"> in </w:t>
      </w:r>
      <w:proofErr w:type="spellStart"/>
      <w:r>
        <w:t>psychology</w:t>
      </w:r>
      <w:proofErr w:type="spellEnd"/>
      <w:r>
        <w:t xml:space="preserve">. </w:t>
      </w:r>
      <w:proofErr w:type="spellStart"/>
      <w:r>
        <w:rPr>
          <w:i/>
        </w:rPr>
        <w:t>Qualitative</w:t>
      </w:r>
      <w:proofErr w:type="spellEnd"/>
      <w:r>
        <w:rPr>
          <w:i/>
        </w:rPr>
        <w:t xml:space="preserve"> </w:t>
      </w:r>
      <w:proofErr w:type="spellStart"/>
      <w:r>
        <w:rPr>
          <w:i/>
        </w:rPr>
        <w:t>Research</w:t>
      </w:r>
      <w:proofErr w:type="spellEnd"/>
      <w:r>
        <w:rPr>
          <w:i/>
        </w:rPr>
        <w:t xml:space="preserve"> in </w:t>
      </w:r>
      <w:proofErr w:type="spellStart"/>
      <w:r>
        <w:rPr>
          <w:i/>
        </w:rPr>
        <w:t>Psychology</w:t>
      </w:r>
      <w:proofErr w:type="spellEnd"/>
      <w:r>
        <w:rPr>
          <w:i/>
        </w:rPr>
        <w:t>, 3</w:t>
      </w:r>
      <w:r>
        <w:t>(2), 77-101. Recuperado de</w:t>
      </w:r>
      <w:hyperlink r:id="rId34">
        <w:r>
          <w:t xml:space="preserve"> https://www.tandfonline.com/doi/abs/10.1191/1478088706qp063oa</w:t>
        </w:r>
      </w:hyperlink>
    </w:p>
    <w:p w14:paraId="62789BA6" w14:textId="77777777" w:rsidR="00C33A41" w:rsidRDefault="007B3952">
      <w:pPr>
        <w:spacing w:line="240" w:lineRule="auto"/>
        <w:ind w:left="709" w:hanging="709"/>
      </w:pPr>
      <w:r>
        <w:t xml:space="preserve">Bronfenbrenner, U. (1977). </w:t>
      </w:r>
      <w:proofErr w:type="spellStart"/>
      <w:r>
        <w:rPr>
          <w:i/>
        </w:rPr>
        <w:t>Toward</w:t>
      </w:r>
      <w:proofErr w:type="spellEnd"/>
      <w:r>
        <w:rPr>
          <w:i/>
        </w:rPr>
        <w:t xml:space="preserve"> </w:t>
      </w:r>
      <w:proofErr w:type="spellStart"/>
      <w:r>
        <w:rPr>
          <w:i/>
        </w:rPr>
        <w:t>an</w:t>
      </w:r>
      <w:proofErr w:type="spellEnd"/>
      <w:r>
        <w:rPr>
          <w:i/>
        </w:rPr>
        <w:t xml:space="preserve"> experimental </w:t>
      </w:r>
      <w:proofErr w:type="spellStart"/>
      <w:r>
        <w:rPr>
          <w:i/>
        </w:rPr>
        <w:t>ecology</w:t>
      </w:r>
      <w:proofErr w:type="spellEnd"/>
      <w:r>
        <w:rPr>
          <w:i/>
        </w:rPr>
        <w:t xml:space="preserve"> </w:t>
      </w:r>
      <w:proofErr w:type="spellStart"/>
      <w:r>
        <w:rPr>
          <w:i/>
        </w:rPr>
        <w:t>of</w:t>
      </w:r>
      <w:proofErr w:type="spellEnd"/>
      <w:r>
        <w:rPr>
          <w:i/>
        </w:rPr>
        <w:t xml:space="preserve"> </w:t>
      </w:r>
      <w:proofErr w:type="spellStart"/>
      <w:r>
        <w:rPr>
          <w:i/>
        </w:rPr>
        <w:t>human</w:t>
      </w:r>
      <w:proofErr w:type="spellEnd"/>
      <w:r>
        <w:rPr>
          <w:i/>
        </w:rPr>
        <w:t xml:space="preserve"> </w:t>
      </w:r>
      <w:proofErr w:type="spellStart"/>
      <w:r>
        <w:rPr>
          <w:i/>
        </w:rPr>
        <w:t>develop</w:t>
      </w:r>
      <w:proofErr w:type="spellEnd"/>
      <w:r>
        <w:rPr>
          <w:i/>
        </w:rPr>
        <w:t xml:space="preserve"> </w:t>
      </w:r>
      <w:proofErr w:type="spellStart"/>
      <w:r>
        <w:rPr>
          <w:i/>
        </w:rPr>
        <w:t>ment</w:t>
      </w:r>
      <w:proofErr w:type="spellEnd"/>
      <w:r>
        <w:t xml:space="preserve">. American </w:t>
      </w:r>
      <w:proofErr w:type="spellStart"/>
      <w:r>
        <w:t>Psychologist</w:t>
      </w:r>
      <w:proofErr w:type="spellEnd"/>
      <w:r>
        <w:t>, 32, 513-531.</w:t>
      </w:r>
    </w:p>
    <w:p w14:paraId="47F8265E" w14:textId="77777777" w:rsidR="00C33A41" w:rsidRDefault="007B3952">
      <w:pPr>
        <w:spacing w:line="240" w:lineRule="auto"/>
        <w:ind w:left="709" w:hanging="709"/>
      </w:pPr>
      <w:r>
        <w:t xml:space="preserve">Bronfenbrenner, U. (1979). </w:t>
      </w:r>
      <w:r>
        <w:rPr>
          <w:i/>
        </w:rPr>
        <w:t xml:space="preserve">The </w:t>
      </w:r>
      <w:proofErr w:type="spellStart"/>
      <w:r>
        <w:rPr>
          <w:i/>
        </w:rPr>
        <w:t>ecology</w:t>
      </w:r>
      <w:proofErr w:type="spellEnd"/>
      <w:r>
        <w:rPr>
          <w:i/>
        </w:rPr>
        <w:t xml:space="preserve"> </w:t>
      </w:r>
      <w:proofErr w:type="spellStart"/>
      <w:r>
        <w:rPr>
          <w:i/>
        </w:rPr>
        <w:t>of</w:t>
      </w:r>
      <w:proofErr w:type="spellEnd"/>
      <w:r>
        <w:rPr>
          <w:i/>
        </w:rPr>
        <w:t xml:space="preserve"> </w:t>
      </w:r>
      <w:proofErr w:type="spellStart"/>
      <w:r>
        <w:rPr>
          <w:i/>
        </w:rPr>
        <w:t>human</w:t>
      </w:r>
      <w:proofErr w:type="spellEnd"/>
      <w:r>
        <w:rPr>
          <w:i/>
        </w:rPr>
        <w:t xml:space="preserve"> </w:t>
      </w:r>
      <w:proofErr w:type="spellStart"/>
      <w:r>
        <w:rPr>
          <w:i/>
        </w:rPr>
        <w:t>development</w:t>
      </w:r>
      <w:proofErr w:type="spellEnd"/>
      <w:r>
        <w:rPr>
          <w:i/>
        </w:rPr>
        <w:t xml:space="preserve">: </w:t>
      </w:r>
      <w:proofErr w:type="spellStart"/>
      <w:r>
        <w:rPr>
          <w:i/>
        </w:rPr>
        <w:t>Experiments</w:t>
      </w:r>
      <w:proofErr w:type="spellEnd"/>
      <w:r>
        <w:rPr>
          <w:i/>
        </w:rPr>
        <w:t xml:space="preserve"> </w:t>
      </w:r>
      <w:proofErr w:type="spellStart"/>
      <w:r>
        <w:rPr>
          <w:i/>
        </w:rPr>
        <w:t>by</w:t>
      </w:r>
      <w:proofErr w:type="spellEnd"/>
      <w:r>
        <w:rPr>
          <w:i/>
        </w:rPr>
        <w:t xml:space="preserve"> </w:t>
      </w:r>
      <w:proofErr w:type="spellStart"/>
      <w:r>
        <w:rPr>
          <w:i/>
        </w:rPr>
        <w:t>nature</w:t>
      </w:r>
      <w:proofErr w:type="spellEnd"/>
      <w:r>
        <w:rPr>
          <w:i/>
        </w:rPr>
        <w:t xml:space="preserve"> </w:t>
      </w:r>
      <w:proofErr w:type="spellStart"/>
      <w:r>
        <w:rPr>
          <w:i/>
        </w:rPr>
        <w:t>and</w:t>
      </w:r>
      <w:proofErr w:type="spellEnd"/>
      <w:r>
        <w:rPr>
          <w:i/>
        </w:rPr>
        <w:t xml:space="preserve"> design</w:t>
      </w:r>
      <w:r>
        <w:t>. Cambridge, MA: Harvard University Press.</w:t>
      </w:r>
    </w:p>
    <w:p w14:paraId="15E4AFAE" w14:textId="77777777" w:rsidR="00C33A41" w:rsidRDefault="007B3952">
      <w:pPr>
        <w:spacing w:line="240" w:lineRule="auto"/>
        <w:ind w:left="709" w:hanging="709"/>
      </w:pPr>
      <w:r>
        <w:t>Bronfenbrenner, U. (1996) A ecologia do desenvolvimento humano: experimentos naturais e planejados. Porto Alegre: Artmed.</w:t>
      </w:r>
    </w:p>
    <w:p w14:paraId="01345D4A" w14:textId="77777777" w:rsidR="00C33A41" w:rsidRDefault="007B3952">
      <w:pPr>
        <w:spacing w:line="240" w:lineRule="auto"/>
        <w:ind w:left="709" w:hanging="709"/>
      </w:pPr>
      <w:r>
        <w:t xml:space="preserve">Bronfenbrenner, U. &amp; Morris, P. (1998). The </w:t>
      </w:r>
      <w:proofErr w:type="spellStart"/>
      <w:r>
        <w:t>ecology</w:t>
      </w:r>
      <w:proofErr w:type="spellEnd"/>
      <w:r>
        <w:t xml:space="preserve"> </w:t>
      </w:r>
      <w:proofErr w:type="spellStart"/>
      <w:r>
        <w:t>of</w:t>
      </w:r>
      <w:proofErr w:type="spellEnd"/>
      <w:r>
        <w:t xml:space="preserve"> </w:t>
      </w:r>
      <w:proofErr w:type="spellStart"/>
      <w:r>
        <w:t>developmental</w:t>
      </w:r>
      <w:proofErr w:type="spellEnd"/>
      <w:r>
        <w:t xml:space="preserve"> processes. In: W. Damon (Org.). </w:t>
      </w:r>
      <w:proofErr w:type="spellStart"/>
      <w:r>
        <w:rPr>
          <w:i/>
        </w:rPr>
        <w:t>Handbooh</w:t>
      </w:r>
      <w:proofErr w:type="spellEnd"/>
      <w:r>
        <w:rPr>
          <w:i/>
        </w:rPr>
        <w:t xml:space="preserve"> </w:t>
      </w:r>
      <w:proofErr w:type="spellStart"/>
      <w:r>
        <w:rPr>
          <w:i/>
        </w:rPr>
        <w:t>of</w:t>
      </w:r>
      <w:proofErr w:type="spellEnd"/>
      <w:r>
        <w:rPr>
          <w:i/>
        </w:rPr>
        <w:t xml:space="preserve"> </w:t>
      </w:r>
      <w:proofErr w:type="spellStart"/>
      <w:r>
        <w:rPr>
          <w:i/>
        </w:rPr>
        <w:t>child</w:t>
      </w:r>
      <w:proofErr w:type="spellEnd"/>
      <w:r>
        <w:rPr>
          <w:i/>
        </w:rPr>
        <w:t xml:space="preserve"> </w:t>
      </w:r>
      <w:proofErr w:type="spellStart"/>
      <w:r>
        <w:rPr>
          <w:i/>
        </w:rPr>
        <w:t>psychology</w:t>
      </w:r>
      <w:proofErr w:type="spellEnd"/>
      <w:r>
        <w:t xml:space="preserve"> (1), 993-1027.</w:t>
      </w:r>
    </w:p>
    <w:p w14:paraId="50EB8067" w14:textId="77777777" w:rsidR="00C33A41" w:rsidRDefault="007B3952">
      <w:pPr>
        <w:spacing w:line="240" w:lineRule="auto"/>
        <w:ind w:left="709" w:hanging="709"/>
      </w:pPr>
      <w:r>
        <w:t xml:space="preserve">Bronfenbrenner, U. (2011). </w:t>
      </w:r>
      <w:r>
        <w:rPr>
          <w:i/>
        </w:rPr>
        <w:t>Bioecologia do desenvolvimento humano: Tornando os seres humanos mais humanos</w:t>
      </w:r>
      <w:r>
        <w:t xml:space="preserve"> (A. Carvalho-Barreto, Trad.). Porto Alegre: Artmed.</w:t>
      </w:r>
    </w:p>
    <w:p w14:paraId="75A9C2D0" w14:textId="77777777" w:rsidR="00C33A41" w:rsidRDefault="007B3952">
      <w:pPr>
        <w:spacing w:line="240" w:lineRule="auto"/>
        <w:ind w:left="709" w:hanging="709"/>
      </w:pPr>
      <w:r>
        <w:t xml:space="preserve">Cardenas M. C., Bustos, S. S., </w:t>
      </w:r>
      <w:proofErr w:type="spellStart"/>
      <w:r>
        <w:t>Chakraborty</w:t>
      </w:r>
      <w:proofErr w:type="spellEnd"/>
      <w:r>
        <w:t>, R. A. (2020). A ‘</w:t>
      </w:r>
      <w:proofErr w:type="spellStart"/>
      <w:r>
        <w:t>parallel</w:t>
      </w:r>
      <w:proofErr w:type="spellEnd"/>
      <w:r>
        <w:t xml:space="preserve"> </w:t>
      </w:r>
      <w:proofErr w:type="spellStart"/>
      <w:r>
        <w:t>pandemic</w:t>
      </w:r>
      <w:proofErr w:type="spellEnd"/>
      <w:r>
        <w:t xml:space="preserve">’: The </w:t>
      </w:r>
      <w:proofErr w:type="spellStart"/>
      <w:r>
        <w:t>psychosocial</w:t>
      </w:r>
      <w:proofErr w:type="spellEnd"/>
      <w:r>
        <w:t xml:space="preserve"> </w:t>
      </w:r>
      <w:proofErr w:type="spellStart"/>
      <w:r>
        <w:t>burden</w:t>
      </w:r>
      <w:proofErr w:type="spellEnd"/>
      <w:r>
        <w:t xml:space="preserve"> </w:t>
      </w:r>
      <w:proofErr w:type="spellStart"/>
      <w:r>
        <w:t>of</w:t>
      </w:r>
      <w:proofErr w:type="spellEnd"/>
      <w:r>
        <w:t xml:space="preserve"> COVID-19 in </w:t>
      </w:r>
      <w:proofErr w:type="spellStart"/>
      <w:r>
        <w:t>children</w:t>
      </w:r>
      <w:proofErr w:type="spellEnd"/>
      <w:r>
        <w:t xml:space="preserve"> </w:t>
      </w:r>
      <w:proofErr w:type="spellStart"/>
      <w:r>
        <w:t>and</w:t>
      </w:r>
      <w:proofErr w:type="spellEnd"/>
      <w:r>
        <w:t xml:space="preserve"> </w:t>
      </w:r>
      <w:proofErr w:type="spellStart"/>
      <w:r>
        <w:t>adolescents</w:t>
      </w:r>
      <w:proofErr w:type="spellEnd"/>
      <w:r>
        <w:t xml:space="preserve">. </w:t>
      </w:r>
      <w:r>
        <w:rPr>
          <w:i/>
        </w:rPr>
        <w:t xml:space="preserve">Acta </w:t>
      </w:r>
      <w:proofErr w:type="spellStart"/>
      <w:r>
        <w:rPr>
          <w:i/>
        </w:rPr>
        <w:t>Paediatr</w:t>
      </w:r>
      <w:proofErr w:type="spellEnd"/>
      <w:r>
        <w:rPr>
          <w:i/>
        </w:rPr>
        <w:t>., 109</w:t>
      </w:r>
      <w:r>
        <w:t xml:space="preserve">(11), 2187-8. </w:t>
      </w:r>
      <w:hyperlink r:id="rId35">
        <w:r>
          <w:rPr>
            <w:color w:val="0563C1"/>
            <w:u w:val="single"/>
          </w:rPr>
          <w:t>https://doi.org/10.1111/apa.15536</w:t>
        </w:r>
      </w:hyperlink>
      <w:r>
        <w:t xml:space="preserve">. </w:t>
      </w:r>
    </w:p>
    <w:p w14:paraId="0CA3913D" w14:textId="77777777" w:rsidR="00C33A41" w:rsidRDefault="007B3952">
      <w:pPr>
        <w:spacing w:line="240" w:lineRule="auto"/>
        <w:ind w:left="709" w:hanging="709"/>
      </w:pPr>
      <w:r>
        <w:t xml:space="preserve">Castro-Silva, C. R. de., </w:t>
      </w:r>
      <w:proofErr w:type="spellStart"/>
      <w:r>
        <w:t>Ianni</w:t>
      </w:r>
      <w:proofErr w:type="spellEnd"/>
      <w:r>
        <w:t xml:space="preserve">, A., &amp; Forte, E. (2021). Desigualdades e subjetividade: construção da práxis no contexto da pandemia de covid-19 em território vulnerável. </w:t>
      </w:r>
      <w:r>
        <w:rPr>
          <w:i/>
        </w:rPr>
        <w:t>Saúde e Sociedade, 30</w:t>
      </w:r>
      <w:r>
        <w:t xml:space="preserve">(2), e210029. </w:t>
      </w:r>
      <w:hyperlink r:id="rId36">
        <w:r>
          <w:rPr>
            <w:color w:val="0563C1"/>
            <w:u w:val="single"/>
          </w:rPr>
          <w:t>https://doi.org/10.1590/S0104-12902021210029</w:t>
        </w:r>
      </w:hyperlink>
      <w:r>
        <w:t xml:space="preserve"> </w:t>
      </w:r>
    </w:p>
    <w:p w14:paraId="7A078562" w14:textId="77777777" w:rsidR="00C33A41" w:rsidRDefault="007B3952">
      <w:pPr>
        <w:spacing w:line="240" w:lineRule="auto"/>
        <w:ind w:left="709" w:hanging="709"/>
      </w:pPr>
      <w:r>
        <w:t xml:space="preserve">Cerqueira, D. (2021). </w:t>
      </w:r>
      <w:r>
        <w:rPr>
          <w:i/>
        </w:rPr>
        <w:t>Atlas da Violência 2021</w:t>
      </w:r>
      <w:r>
        <w:t xml:space="preserve">. São Paulo: FBSP. Recuperado de: </w:t>
      </w:r>
      <w:hyperlink r:id="rId37">
        <w:r>
          <w:rPr>
            <w:color w:val="0563C1"/>
            <w:u w:val="single"/>
          </w:rPr>
          <w:t>https://www.ipea.gov.br/atlasviolencia/arquivos/artigos/5141-atlasdaviolencia2021completo.pdf</w:t>
        </w:r>
      </w:hyperlink>
      <w:r>
        <w:t>. Acesso em: 19 set. 2022.</w:t>
      </w:r>
    </w:p>
    <w:p w14:paraId="0D94F199" w14:textId="77777777" w:rsidR="00C33A41" w:rsidRDefault="007B3952">
      <w:pPr>
        <w:spacing w:line="240" w:lineRule="auto"/>
        <w:ind w:left="709" w:hanging="709"/>
      </w:pPr>
      <w:r>
        <w:t>Conselho Nacional dos Direitos da Criança e do Adolescente &amp; Conselho Nacional de Assistência Social [CONANDA &amp; CNAS]. (2006</w:t>
      </w:r>
      <w:r>
        <w:rPr>
          <w:i/>
        </w:rPr>
        <w:t>). Plano Nacional de Promoção, Proteção e Defesa do Direito de Crianças e Adolescentes à Convivência Familiar e Comunitária</w:t>
      </w:r>
      <w:r>
        <w:t xml:space="preserve">. Ministério do Desenvolvimento Social, Brasília. Recuperado de: </w:t>
      </w:r>
      <w:hyperlink r:id="rId38">
        <w:r>
          <w:rPr>
            <w:color w:val="0563C1"/>
            <w:u w:val="single"/>
          </w:rPr>
          <w:t>https://www.mds.gov.br/webarquivos/publicacao/assistencia_social/Cadernos/Plano_Defesa_CriancasAdolescentes%20.pdf</w:t>
        </w:r>
      </w:hyperlink>
      <w:r>
        <w:t>. Acesso em: 17 set. 2022.</w:t>
      </w:r>
    </w:p>
    <w:p w14:paraId="26052AC3" w14:textId="77777777" w:rsidR="00C33A41" w:rsidRDefault="007B3952">
      <w:pPr>
        <w:spacing w:line="240" w:lineRule="auto"/>
        <w:ind w:left="709" w:hanging="709"/>
        <w:rPr>
          <w:color w:val="1155CC"/>
          <w:u w:val="single"/>
        </w:rPr>
      </w:pPr>
      <w:r>
        <w:lastRenderedPageBreak/>
        <w:t xml:space="preserve">Conselho Nacional da Juventude [CONJUVE]. (2021). </w:t>
      </w:r>
      <w:r>
        <w:rPr>
          <w:i/>
        </w:rPr>
        <w:t>Atlas das Juventudes: Evidências Para A Transformação Das Juventudes</w:t>
      </w:r>
      <w:r>
        <w:t>. Recuperado de</w:t>
      </w:r>
      <w:hyperlink r:id="rId39">
        <w:r>
          <w:t xml:space="preserve"> </w:t>
        </w:r>
      </w:hyperlink>
      <w:hyperlink r:id="rId40">
        <w:r>
          <w:rPr>
            <w:color w:val="1155CC"/>
            <w:u w:val="single"/>
          </w:rPr>
          <w:t>https://atlasdasjuventudes.com.br/wp-content/uploads/2021/11/ATLAS-DAS-JUVENTUDES-2021-COMPLETO.pdf</w:t>
        </w:r>
      </w:hyperlink>
    </w:p>
    <w:p w14:paraId="2F464CD0" w14:textId="77777777" w:rsidR="00C33A41" w:rsidRDefault="007B3952">
      <w:pPr>
        <w:spacing w:line="240" w:lineRule="auto"/>
        <w:ind w:left="709" w:hanging="709"/>
      </w:pPr>
      <w:r>
        <w:t xml:space="preserve">Conselho Nacional do Ministério Público. (2023). </w:t>
      </w:r>
      <w:r>
        <w:rPr>
          <w:i/>
        </w:rPr>
        <w:t>Panorama Socioeducativo - Internacional e Semiliberdade</w:t>
      </w:r>
      <w:r>
        <w:t xml:space="preserve">. Recuperado de: </w:t>
      </w:r>
      <w:hyperlink r:id="rId41">
        <w:r>
          <w:rPr>
            <w:color w:val="0563C1"/>
            <w:u w:val="single"/>
          </w:rPr>
          <w:t>https://public.tableau.com/app/profile/cnmp/viz/PanoramaSocioeducativo-InternaoeSemiliberdade/CumprimentoInternao</w:t>
        </w:r>
      </w:hyperlink>
      <w:r>
        <w:t>. Acesso em: 14 dez. 2022.</w:t>
      </w:r>
    </w:p>
    <w:p w14:paraId="36FD9676" w14:textId="77777777" w:rsidR="00C33A41" w:rsidRDefault="007B3952">
      <w:pPr>
        <w:spacing w:line="240" w:lineRule="auto"/>
        <w:ind w:left="709" w:hanging="709"/>
      </w:pPr>
      <w:proofErr w:type="spellStart"/>
      <w:r>
        <w:t>Coscioni</w:t>
      </w:r>
      <w:proofErr w:type="spellEnd"/>
      <w:r>
        <w:t xml:space="preserve">, V. (2017). </w:t>
      </w:r>
      <w:r>
        <w:rPr>
          <w:i/>
        </w:rPr>
        <w:t>Projetos de Vida e Relações Interpessoais de Adolescentes em Cumprimento de Medida Socioeducativa de Internação</w:t>
      </w:r>
      <w:r>
        <w:t xml:space="preserve"> [Dissertação de Mestrado, Universidade Federal do Espírito Santo]. Repositório Institucional UFES. Recuperado de: </w:t>
      </w:r>
      <w:hyperlink r:id="rId42">
        <w:r>
          <w:rPr>
            <w:color w:val="0563C1"/>
            <w:u w:val="single"/>
          </w:rPr>
          <w:t>http://repositorio.ufes.br/handle/10/9059</w:t>
        </w:r>
      </w:hyperlink>
      <w:r>
        <w:t>.</w:t>
      </w:r>
    </w:p>
    <w:p w14:paraId="398210F9" w14:textId="77777777" w:rsidR="00C33A41" w:rsidRDefault="007B3952">
      <w:pPr>
        <w:spacing w:line="240" w:lineRule="auto"/>
        <w:ind w:left="709" w:hanging="709"/>
        <w:rPr>
          <w:highlight w:val="white"/>
        </w:rPr>
      </w:pPr>
      <w:proofErr w:type="spellStart"/>
      <w:r>
        <w:rPr>
          <w:highlight w:val="white"/>
        </w:rPr>
        <w:t>Coscioni</w:t>
      </w:r>
      <w:proofErr w:type="spellEnd"/>
      <w:r>
        <w:rPr>
          <w:highlight w:val="white"/>
        </w:rPr>
        <w:t xml:space="preserve">, V., de Farias, B. G., Garcia, A., Rosa, E. M., &amp; </w:t>
      </w:r>
      <w:proofErr w:type="spellStart"/>
      <w:r>
        <w:rPr>
          <w:highlight w:val="white"/>
        </w:rPr>
        <w:t>Koller</w:t>
      </w:r>
      <w:proofErr w:type="spellEnd"/>
      <w:r>
        <w:rPr>
          <w:highlight w:val="white"/>
        </w:rPr>
        <w:t>, S. H. (2018). O convívio de adolescentes em medida socioeducativa de internação com a equipe técnica. </w:t>
      </w:r>
      <w:r>
        <w:rPr>
          <w:i/>
          <w:highlight w:val="white"/>
        </w:rPr>
        <w:t>Psico</w:t>
      </w:r>
      <w:r>
        <w:rPr>
          <w:highlight w:val="white"/>
        </w:rPr>
        <w:t>, </w:t>
      </w:r>
      <w:r>
        <w:rPr>
          <w:i/>
          <w:highlight w:val="white"/>
        </w:rPr>
        <w:t>49</w:t>
      </w:r>
      <w:r>
        <w:rPr>
          <w:highlight w:val="white"/>
        </w:rPr>
        <w:t xml:space="preserve">(2), 137–147. </w:t>
      </w:r>
      <w:hyperlink r:id="rId43">
        <w:r>
          <w:rPr>
            <w:color w:val="0563C1"/>
            <w:highlight w:val="white"/>
            <w:u w:val="single"/>
          </w:rPr>
          <w:t>https://doi.org/10.15448/1980-8623.2018.2.27890</w:t>
        </w:r>
      </w:hyperlink>
    </w:p>
    <w:p w14:paraId="4DD1EDB5" w14:textId="77777777" w:rsidR="00C33A41" w:rsidRDefault="007B3952">
      <w:pPr>
        <w:spacing w:line="240" w:lineRule="auto"/>
        <w:ind w:left="709" w:hanging="709"/>
        <w:rPr>
          <w:highlight w:val="white"/>
        </w:rPr>
      </w:pPr>
      <w:proofErr w:type="spellStart"/>
      <w:r>
        <w:rPr>
          <w:color w:val="000000"/>
        </w:rPr>
        <w:t>Coscioni</w:t>
      </w:r>
      <w:proofErr w:type="spellEnd"/>
      <w:r>
        <w:rPr>
          <w:color w:val="000000"/>
        </w:rPr>
        <w:t xml:space="preserve">, Vinicius, Pinto Marques, Mauricio, Rosa, </w:t>
      </w:r>
      <w:proofErr w:type="spellStart"/>
      <w:r>
        <w:rPr>
          <w:color w:val="000000"/>
        </w:rPr>
        <w:t>Edinete</w:t>
      </w:r>
      <w:proofErr w:type="spellEnd"/>
      <w:r>
        <w:rPr>
          <w:color w:val="000000"/>
        </w:rPr>
        <w:t xml:space="preserve"> Maria, &amp; </w:t>
      </w:r>
      <w:proofErr w:type="spellStart"/>
      <w:r>
        <w:rPr>
          <w:color w:val="000000"/>
        </w:rPr>
        <w:t>Koller</w:t>
      </w:r>
      <w:proofErr w:type="spellEnd"/>
      <w:r>
        <w:rPr>
          <w:color w:val="000000"/>
        </w:rPr>
        <w:t>, Sílvia Helena. (2018). Projetos de vida de adolescentes em medida socioeducativa de internação. </w:t>
      </w:r>
      <w:proofErr w:type="spellStart"/>
      <w:r>
        <w:rPr>
          <w:i/>
          <w:color w:val="000000"/>
        </w:rPr>
        <w:t>Ciencias</w:t>
      </w:r>
      <w:proofErr w:type="spellEnd"/>
      <w:r>
        <w:rPr>
          <w:i/>
          <w:color w:val="000000"/>
        </w:rPr>
        <w:t xml:space="preserve"> Psicológicas</w:t>
      </w:r>
      <w:r>
        <w:rPr>
          <w:color w:val="000000"/>
        </w:rPr>
        <w:t>, </w:t>
      </w:r>
      <w:r>
        <w:rPr>
          <w:i/>
          <w:color w:val="000000"/>
        </w:rPr>
        <w:t>12</w:t>
      </w:r>
      <w:r>
        <w:rPr>
          <w:color w:val="000000"/>
        </w:rPr>
        <w:t>(1), 109-120. </w:t>
      </w:r>
      <w:hyperlink r:id="rId44">
        <w:r>
          <w:rPr>
            <w:color w:val="555555"/>
            <w:u w:val="single"/>
          </w:rPr>
          <w:t>https://doi.org/10.22235/cp.v12i1.1601</w:t>
        </w:r>
      </w:hyperlink>
    </w:p>
    <w:p w14:paraId="09991D03" w14:textId="77777777" w:rsidR="00C33A41" w:rsidRDefault="007B3952">
      <w:pPr>
        <w:spacing w:line="240" w:lineRule="auto"/>
        <w:ind w:left="709" w:hanging="709"/>
        <w:rPr>
          <w:highlight w:val="white"/>
        </w:rPr>
      </w:pPr>
      <w:proofErr w:type="spellStart"/>
      <w:r>
        <w:rPr>
          <w:highlight w:val="white"/>
        </w:rPr>
        <w:t>Coscioni</w:t>
      </w:r>
      <w:proofErr w:type="spellEnd"/>
      <w:r>
        <w:rPr>
          <w:highlight w:val="white"/>
        </w:rPr>
        <w:t xml:space="preserve">, V., Farias, B. G, Rosa, E. M., &amp; </w:t>
      </w:r>
      <w:proofErr w:type="spellStart"/>
      <w:r>
        <w:rPr>
          <w:highlight w:val="white"/>
        </w:rPr>
        <w:t>Koller</w:t>
      </w:r>
      <w:proofErr w:type="spellEnd"/>
      <w:r>
        <w:rPr>
          <w:highlight w:val="white"/>
        </w:rPr>
        <w:t xml:space="preserve">, S. H. (2019). Significados do mundo do crime para adolescentes em medida socioeducativa de internação, Brasil. </w:t>
      </w:r>
      <w:r>
        <w:rPr>
          <w:i/>
          <w:highlight w:val="white"/>
        </w:rPr>
        <w:t xml:space="preserve">Revista </w:t>
      </w:r>
      <w:proofErr w:type="spellStart"/>
      <w:r>
        <w:rPr>
          <w:i/>
          <w:highlight w:val="white"/>
        </w:rPr>
        <w:t>Latinoamericana</w:t>
      </w:r>
      <w:proofErr w:type="spellEnd"/>
      <w:r>
        <w:rPr>
          <w:i/>
          <w:highlight w:val="white"/>
        </w:rPr>
        <w:t xml:space="preserve"> de </w:t>
      </w:r>
      <w:proofErr w:type="spellStart"/>
      <w:r>
        <w:rPr>
          <w:i/>
          <w:highlight w:val="white"/>
        </w:rPr>
        <w:t>Ciencias</w:t>
      </w:r>
      <w:proofErr w:type="spellEnd"/>
      <w:r>
        <w:rPr>
          <w:i/>
          <w:highlight w:val="white"/>
        </w:rPr>
        <w:t xml:space="preserve"> </w:t>
      </w:r>
      <w:proofErr w:type="spellStart"/>
      <w:r>
        <w:rPr>
          <w:i/>
          <w:highlight w:val="white"/>
        </w:rPr>
        <w:t>Socia-les</w:t>
      </w:r>
      <w:proofErr w:type="spellEnd"/>
      <w:r>
        <w:rPr>
          <w:i/>
          <w:highlight w:val="white"/>
        </w:rPr>
        <w:t xml:space="preserve">, </w:t>
      </w:r>
      <w:proofErr w:type="spellStart"/>
      <w:r>
        <w:rPr>
          <w:i/>
          <w:highlight w:val="white"/>
        </w:rPr>
        <w:t>Niñez</w:t>
      </w:r>
      <w:proofErr w:type="spellEnd"/>
      <w:r>
        <w:rPr>
          <w:i/>
          <w:highlight w:val="white"/>
        </w:rPr>
        <w:t xml:space="preserve"> y </w:t>
      </w:r>
      <w:proofErr w:type="spellStart"/>
      <w:r>
        <w:rPr>
          <w:i/>
          <w:highlight w:val="white"/>
        </w:rPr>
        <w:t>Juventud</w:t>
      </w:r>
      <w:proofErr w:type="spellEnd"/>
      <w:r>
        <w:rPr>
          <w:i/>
          <w:highlight w:val="white"/>
        </w:rPr>
        <w:t>, 17</w:t>
      </w:r>
      <w:r>
        <w:rPr>
          <w:highlight w:val="white"/>
        </w:rPr>
        <w:t xml:space="preserve">(2), 1-20. </w:t>
      </w:r>
      <w:hyperlink r:id="rId45">
        <w:r>
          <w:rPr>
            <w:color w:val="0563C1"/>
            <w:highlight w:val="white"/>
            <w:u w:val="single"/>
          </w:rPr>
          <w:t>http://dx.doi.org/10.11600/1692715x.17214</w:t>
        </w:r>
      </w:hyperlink>
      <w:r>
        <w:rPr>
          <w:highlight w:val="white"/>
        </w:rPr>
        <w:t xml:space="preserve"> </w:t>
      </w:r>
    </w:p>
    <w:p w14:paraId="51FAB0EA" w14:textId="77777777" w:rsidR="00C33A41" w:rsidRDefault="007B3952">
      <w:pPr>
        <w:spacing w:line="240" w:lineRule="auto"/>
        <w:ind w:left="709" w:hanging="709"/>
      </w:pPr>
      <w:proofErr w:type="spellStart"/>
      <w:r>
        <w:t>Coscioni</w:t>
      </w:r>
      <w:proofErr w:type="spellEnd"/>
      <w:r>
        <w:t xml:space="preserve">, V., Nascimento, D. B. do., Rosa, E. M., &amp; </w:t>
      </w:r>
      <w:proofErr w:type="spellStart"/>
      <w:r>
        <w:t>Koller</w:t>
      </w:r>
      <w:proofErr w:type="spellEnd"/>
      <w:r>
        <w:t xml:space="preserve">, S. H. (2020). </w:t>
      </w:r>
      <w:proofErr w:type="spellStart"/>
      <w:r>
        <w:t>Interpersonal</w:t>
      </w:r>
      <w:proofErr w:type="spellEnd"/>
      <w:r>
        <w:t xml:space="preserve"> </w:t>
      </w:r>
      <w:proofErr w:type="spellStart"/>
      <w:r>
        <w:t>Relationships</w:t>
      </w:r>
      <w:proofErr w:type="spellEnd"/>
      <w:r>
        <w:t xml:space="preserve"> </w:t>
      </w:r>
      <w:proofErr w:type="spellStart"/>
      <w:r>
        <w:t>of</w:t>
      </w:r>
      <w:proofErr w:type="spellEnd"/>
      <w:r>
        <w:t xml:space="preserve"> </w:t>
      </w:r>
      <w:proofErr w:type="spellStart"/>
      <w:r>
        <w:t>Juvenile</w:t>
      </w:r>
      <w:proofErr w:type="spellEnd"/>
      <w:r>
        <w:t xml:space="preserve"> </w:t>
      </w:r>
      <w:proofErr w:type="spellStart"/>
      <w:r>
        <w:t>Offenders</w:t>
      </w:r>
      <w:proofErr w:type="spellEnd"/>
      <w:r>
        <w:t xml:space="preserve"> </w:t>
      </w:r>
      <w:proofErr w:type="spellStart"/>
      <w:r>
        <w:t>at</w:t>
      </w:r>
      <w:proofErr w:type="spellEnd"/>
      <w:r>
        <w:t xml:space="preserve"> </w:t>
      </w:r>
      <w:proofErr w:type="spellStart"/>
      <w:r>
        <w:t>Treatment</w:t>
      </w:r>
      <w:proofErr w:type="spellEnd"/>
      <w:r>
        <w:t xml:space="preserve"> </w:t>
      </w:r>
      <w:proofErr w:type="spellStart"/>
      <w:r>
        <w:t>Facilities</w:t>
      </w:r>
      <w:proofErr w:type="spellEnd"/>
      <w:r>
        <w:t xml:space="preserve">. </w:t>
      </w:r>
      <w:r>
        <w:rPr>
          <w:i/>
        </w:rPr>
        <w:t>Psicologia: Teoria E Pesquisa, 36</w:t>
      </w:r>
      <w:r>
        <w:t xml:space="preserve">, e3645. </w:t>
      </w:r>
      <w:hyperlink r:id="rId46">
        <w:r>
          <w:rPr>
            <w:color w:val="0563C1"/>
            <w:u w:val="single"/>
          </w:rPr>
          <w:t>https://doi.org/10.1590/0102.3772e3645</w:t>
        </w:r>
      </w:hyperlink>
      <w:r>
        <w:t xml:space="preserve"> </w:t>
      </w:r>
    </w:p>
    <w:p w14:paraId="1961DD06" w14:textId="77777777" w:rsidR="00C33A41" w:rsidRDefault="007B3952">
      <w:pPr>
        <w:spacing w:line="240" w:lineRule="auto"/>
        <w:ind w:left="709" w:hanging="709"/>
      </w:pPr>
      <w:proofErr w:type="spellStart"/>
      <w:r>
        <w:t>Coscioni</w:t>
      </w:r>
      <w:proofErr w:type="spellEnd"/>
      <w:r>
        <w:t xml:space="preserve">, V. (2021). </w:t>
      </w:r>
      <w:r>
        <w:rPr>
          <w:i/>
        </w:rPr>
        <w:t xml:space="preserve">A </w:t>
      </w:r>
      <w:proofErr w:type="spellStart"/>
      <w:r>
        <w:rPr>
          <w:i/>
        </w:rPr>
        <w:t>comprehensive</w:t>
      </w:r>
      <w:proofErr w:type="spellEnd"/>
      <w:r>
        <w:rPr>
          <w:i/>
        </w:rPr>
        <w:t xml:space="preserve"> </w:t>
      </w:r>
      <w:proofErr w:type="spellStart"/>
      <w:r>
        <w:rPr>
          <w:i/>
        </w:rPr>
        <w:t>theory</w:t>
      </w:r>
      <w:proofErr w:type="spellEnd"/>
      <w:r>
        <w:rPr>
          <w:i/>
        </w:rPr>
        <w:t xml:space="preserve"> </w:t>
      </w:r>
      <w:proofErr w:type="spellStart"/>
      <w:r>
        <w:rPr>
          <w:i/>
        </w:rPr>
        <w:t>of</w:t>
      </w:r>
      <w:proofErr w:type="spellEnd"/>
      <w:r>
        <w:rPr>
          <w:i/>
        </w:rPr>
        <w:t xml:space="preserve"> </w:t>
      </w:r>
      <w:proofErr w:type="spellStart"/>
      <w:r>
        <w:rPr>
          <w:i/>
        </w:rPr>
        <w:t>life</w:t>
      </w:r>
      <w:proofErr w:type="spellEnd"/>
      <w:r>
        <w:rPr>
          <w:i/>
        </w:rPr>
        <w:t xml:space="preserve"> </w:t>
      </w:r>
      <w:proofErr w:type="spellStart"/>
      <w:r>
        <w:rPr>
          <w:i/>
        </w:rPr>
        <w:t>projects</w:t>
      </w:r>
      <w:proofErr w:type="spellEnd"/>
      <w:r>
        <w:t xml:space="preserve"> (Tese de doutorado). Universidade de Coimbra, </w:t>
      </w:r>
      <w:proofErr w:type="spellStart"/>
      <w:r>
        <w:t>Portugual</w:t>
      </w:r>
      <w:proofErr w:type="spellEnd"/>
      <w:r>
        <w:t>. Recuperado de</w:t>
      </w:r>
      <w:hyperlink r:id="rId47">
        <w:r>
          <w:t xml:space="preserve"> http://hdl.handle.net/10316/95434</w:t>
        </w:r>
      </w:hyperlink>
    </w:p>
    <w:p w14:paraId="5A68E4C1" w14:textId="77777777" w:rsidR="00C33A41" w:rsidRDefault="007B3952">
      <w:pPr>
        <w:spacing w:line="240" w:lineRule="auto"/>
        <w:ind w:left="709" w:hanging="709"/>
      </w:pPr>
      <w:r>
        <w:t xml:space="preserve">Costa, C. S. da S., &amp; Alberto, M. de F. P. (2021). Projetos de vida de jovens egressos de medidas socioeducativas. </w:t>
      </w:r>
      <w:r>
        <w:rPr>
          <w:i/>
        </w:rPr>
        <w:t>Psicologia &amp; Sociedade, 33</w:t>
      </w:r>
      <w:r>
        <w:t xml:space="preserve">, e221808. </w:t>
      </w:r>
      <w:hyperlink r:id="rId48">
        <w:r>
          <w:rPr>
            <w:color w:val="0563C1"/>
            <w:u w:val="single"/>
          </w:rPr>
          <w:t>https://doi.org/10.1590/1807-0310/2021v33221808</w:t>
        </w:r>
      </w:hyperlink>
      <w:r>
        <w:t xml:space="preserve"> </w:t>
      </w:r>
    </w:p>
    <w:p w14:paraId="051C9516" w14:textId="77777777" w:rsidR="00C33A41" w:rsidRDefault="007B3952">
      <w:pPr>
        <w:spacing w:line="240" w:lineRule="auto"/>
        <w:ind w:left="709" w:hanging="709"/>
        <w:rPr>
          <w:color w:val="385623"/>
        </w:rPr>
      </w:pPr>
      <w:r>
        <w:t xml:space="preserve">Costa, M. de F. G., Cavalcante, L. I. C., &amp; Costa, E. F. (2021). </w:t>
      </w:r>
      <w:r>
        <w:rPr>
          <w:color w:val="000000"/>
        </w:rPr>
        <w:t xml:space="preserve">O trabalho dos pais e o desenvolvimento dos filhos no contexto da pandemia de COVID-19: Um olhar Bioecológico. </w:t>
      </w:r>
      <w:proofErr w:type="spellStart"/>
      <w:r>
        <w:rPr>
          <w:i/>
          <w:color w:val="385623"/>
        </w:rPr>
        <w:t>Research</w:t>
      </w:r>
      <w:proofErr w:type="spellEnd"/>
      <w:r>
        <w:rPr>
          <w:i/>
          <w:color w:val="385623"/>
        </w:rPr>
        <w:t xml:space="preserve">, Society </w:t>
      </w:r>
      <w:proofErr w:type="spellStart"/>
      <w:r>
        <w:rPr>
          <w:i/>
          <w:color w:val="385623"/>
        </w:rPr>
        <w:t>and</w:t>
      </w:r>
      <w:proofErr w:type="spellEnd"/>
      <w:r>
        <w:rPr>
          <w:i/>
          <w:color w:val="385623"/>
        </w:rPr>
        <w:t xml:space="preserve"> </w:t>
      </w:r>
      <w:proofErr w:type="spellStart"/>
      <w:r>
        <w:rPr>
          <w:i/>
          <w:color w:val="385623"/>
        </w:rPr>
        <w:t>Development</w:t>
      </w:r>
      <w:proofErr w:type="spellEnd"/>
      <w:r>
        <w:rPr>
          <w:i/>
          <w:color w:val="385623"/>
        </w:rPr>
        <w:t>, 10</w:t>
      </w:r>
      <w:r>
        <w:rPr>
          <w:color w:val="385623"/>
        </w:rPr>
        <w:t xml:space="preserve">(10), e169101018730. </w:t>
      </w:r>
      <w:hyperlink r:id="rId49">
        <w:r>
          <w:rPr>
            <w:color w:val="0563C1"/>
            <w:u w:val="single"/>
          </w:rPr>
          <w:t>http://dx.doi.org/10.33448/rsd-v10i10.18730</w:t>
        </w:r>
      </w:hyperlink>
      <w:r>
        <w:rPr>
          <w:color w:val="385623"/>
        </w:rPr>
        <w:t xml:space="preserve"> </w:t>
      </w:r>
    </w:p>
    <w:p w14:paraId="34901FB8" w14:textId="77777777" w:rsidR="00C33A41" w:rsidRDefault="007B3952">
      <w:pPr>
        <w:spacing w:line="240" w:lineRule="auto"/>
        <w:ind w:left="709" w:hanging="709"/>
        <w:rPr>
          <w:color w:val="385623"/>
        </w:rPr>
      </w:pPr>
      <w:r>
        <w:rPr>
          <w:rFonts w:eastAsia="Times New Roman" w:cs="Times New Roman"/>
          <w:i/>
          <w:color w:val="000000"/>
        </w:rPr>
        <w:t>Costa, C. S. S.</w:t>
      </w:r>
      <w:r>
        <w:rPr>
          <w:rFonts w:eastAsia="Times New Roman" w:cs="Times New Roman"/>
          <w:color w:val="000000"/>
        </w:rPr>
        <w:t xml:space="preserve"> </w:t>
      </w:r>
      <w:r>
        <w:rPr>
          <w:rFonts w:eastAsia="Times New Roman" w:cs="Times New Roman"/>
          <w:i/>
          <w:color w:val="242021"/>
        </w:rPr>
        <w:t xml:space="preserve">(2017). </w:t>
      </w:r>
      <w:r>
        <w:rPr>
          <w:rFonts w:eastAsia="Times New Roman" w:cs="Times New Roman"/>
          <w:color w:val="242021"/>
        </w:rPr>
        <w:t>Vivência e projeto de vida de jovens em cumprimento de medidas socioeducativas</w:t>
      </w:r>
      <w:r>
        <w:rPr>
          <w:rFonts w:eastAsia="Times New Roman" w:cs="Times New Roman"/>
          <w:i/>
          <w:color w:val="242021"/>
        </w:rPr>
        <w:t xml:space="preserve"> </w:t>
      </w:r>
      <w:r>
        <w:rPr>
          <w:rFonts w:eastAsia="Times New Roman" w:cs="Times New Roman"/>
          <w:b/>
          <w:i/>
          <w:color w:val="242021"/>
        </w:rPr>
        <w:t>[</w:t>
      </w:r>
      <w:r>
        <w:rPr>
          <w:rFonts w:eastAsia="Times New Roman" w:cs="Times New Roman"/>
          <w:i/>
          <w:color w:val="242021"/>
        </w:rPr>
        <w:t>Dissertação de Mestrado, Universidade Federal da Paraíba</w:t>
      </w:r>
      <w:r>
        <w:rPr>
          <w:rFonts w:eastAsia="Times New Roman" w:cs="Times New Roman"/>
          <w:b/>
          <w:i/>
          <w:color w:val="242021"/>
        </w:rPr>
        <w:t>]</w:t>
      </w:r>
      <w:r>
        <w:rPr>
          <w:rFonts w:eastAsia="Times New Roman" w:cs="Times New Roman"/>
          <w:i/>
          <w:color w:val="242021"/>
        </w:rPr>
        <w:t xml:space="preserve">. </w:t>
      </w:r>
      <w:r>
        <w:rPr>
          <w:rFonts w:eastAsia="Times New Roman" w:cs="Times New Roman"/>
          <w:b/>
          <w:i/>
          <w:color w:val="242021"/>
        </w:rPr>
        <w:t xml:space="preserve">Repositório Institucional da UFPB. Recuperado de: </w:t>
      </w:r>
      <w:hyperlink r:id="rId50">
        <w:r>
          <w:rPr>
            <w:color w:val="0563C1"/>
            <w:u w:val="single"/>
          </w:rPr>
          <w:t>https://repositorio.ufpb.br/jspui/handle/tede/9109</w:t>
        </w:r>
      </w:hyperlink>
      <w:r>
        <w:rPr>
          <w:rFonts w:eastAsia="Times New Roman" w:cs="Times New Roman"/>
          <w:b/>
          <w:i/>
          <w:color w:val="242021"/>
        </w:rPr>
        <w:t>. Acesso em: 28 out. 2022.</w:t>
      </w:r>
    </w:p>
    <w:p w14:paraId="181DAE90" w14:textId="77777777" w:rsidR="00C33A41" w:rsidRDefault="007B3952">
      <w:pPr>
        <w:spacing w:line="240" w:lineRule="auto"/>
        <w:ind w:left="709" w:hanging="709"/>
      </w:pPr>
      <w:r>
        <w:t xml:space="preserve">Costa, N. do R., &amp; Silva, P. R. F. da (2017). A atenção em saúde mental aos adolescentes em conflito com a lei no Brasil. </w:t>
      </w:r>
      <w:r>
        <w:rPr>
          <w:i/>
        </w:rPr>
        <w:t>Ciência &amp; Saúde Coletiva, 22</w:t>
      </w:r>
      <w:r>
        <w:t xml:space="preserve">(5), 1467–1478. </w:t>
      </w:r>
      <w:hyperlink r:id="rId51">
        <w:r>
          <w:rPr>
            <w:color w:val="0563C1"/>
            <w:u w:val="single"/>
          </w:rPr>
          <w:t>https://doi.org/10.1590/1413-81232017225.33562016</w:t>
        </w:r>
      </w:hyperlink>
      <w:r>
        <w:t xml:space="preserve"> </w:t>
      </w:r>
    </w:p>
    <w:p w14:paraId="45BE8030" w14:textId="77777777" w:rsidR="00C33A41" w:rsidRDefault="007B3952">
      <w:pPr>
        <w:spacing w:line="240" w:lineRule="auto"/>
        <w:ind w:left="709" w:hanging="709"/>
      </w:pPr>
      <w:r>
        <w:t xml:space="preserve">Costa, R. L. F., Costa, R. F., Gonçalves, C. P., Cohen, R. W. F., &amp; Santana, N. N. (2022). </w:t>
      </w:r>
      <w:proofErr w:type="spellStart"/>
      <w:r>
        <w:t>Telemedicine</w:t>
      </w:r>
      <w:proofErr w:type="spellEnd"/>
      <w:r>
        <w:t xml:space="preserve"> </w:t>
      </w:r>
      <w:proofErr w:type="spellStart"/>
      <w:r>
        <w:t>of</w:t>
      </w:r>
      <w:proofErr w:type="spellEnd"/>
      <w:r>
        <w:t xml:space="preserve"> </w:t>
      </w:r>
      <w:proofErr w:type="spellStart"/>
      <w:r>
        <w:t>patients</w:t>
      </w:r>
      <w:proofErr w:type="spellEnd"/>
      <w:r>
        <w:t xml:space="preserve"> </w:t>
      </w:r>
      <w:proofErr w:type="spellStart"/>
      <w:r>
        <w:t>with</w:t>
      </w:r>
      <w:proofErr w:type="spellEnd"/>
      <w:r>
        <w:t xml:space="preserve"> </w:t>
      </w:r>
      <w:proofErr w:type="spellStart"/>
      <w:r>
        <w:t>cystic</w:t>
      </w:r>
      <w:proofErr w:type="spellEnd"/>
      <w:r>
        <w:t xml:space="preserve"> </w:t>
      </w:r>
      <w:proofErr w:type="spellStart"/>
      <w:r>
        <w:t>fibrosis</w:t>
      </w:r>
      <w:proofErr w:type="spellEnd"/>
      <w:r>
        <w:t xml:space="preserve"> </w:t>
      </w:r>
      <w:proofErr w:type="spellStart"/>
      <w:r>
        <w:t>during</w:t>
      </w:r>
      <w:proofErr w:type="spellEnd"/>
      <w:r>
        <w:t xml:space="preserve"> the COVID-19 </w:t>
      </w:r>
      <w:proofErr w:type="spellStart"/>
      <w:r>
        <w:t>pandemic</w:t>
      </w:r>
      <w:proofErr w:type="spellEnd"/>
      <w:r>
        <w:t xml:space="preserve">. </w:t>
      </w:r>
      <w:r>
        <w:rPr>
          <w:i/>
        </w:rPr>
        <w:t>Revista Paulista de Pediatria, 40</w:t>
      </w:r>
      <w:r>
        <w:t>, e2021118.</w:t>
      </w:r>
      <w:hyperlink r:id="rId52">
        <w:r>
          <w:t xml:space="preserve"> https://doi.org/10.1590/1984-0462/2022/40/2021118IN</w:t>
        </w:r>
      </w:hyperlink>
      <w:r>
        <w:t>.</w:t>
      </w:r>
    </w:p>
    <w:p w14:paraId="38487BEB" w14:textId="77777777" w:rsidR="00C33A41" w:rsidRDefault="007B3952">
      <w:pPr>
        <w:spacing w:line="240" w:lineRule="auto"/>
        <w:ind w:left="709" w:hanging="709"/>
      </w:pPr>
      <w:r>
        <w:t xml:space="preserve">Cohen, R. I. S. &amp; </w:t>
      </w:r>
      <w:proofErr w:type="spellStart"/>
      <w:r>
        <w:t>Bosk</w:t>
      </w:r>
      <w:proofErr w:type="spellEnd"/>
      <w:r>
        <w:t xml:space="preserve">, E. A. (2020). </w:t>
      </w:r>
      <w:proofErr w:type="spellStart"/>
      <w:r>
        <w:t>Vulnerable</w:t>
      </w:r>
      <w:proofErr w:type="spellEnd"/>
      <w:r>
        <w:t xml:space="preserve"> Youth </w:t>
      </w:r>
      <w:proofErr w:type="spellStart"/>
      <w:r>
        <w:t>and</w:t>
      </w:r>
      <w:proofErr w:type="spellEnd"/>
      <w:r>
        <w:t xml:space="preserve"> the COVID-19 </w:t>
      </w:r>
      <w:proofErr w:type="spellStart"/>
      <w:r>
        <w:t>Pandemic</w:t>
      </w:r>
      <w:proofErr w:type="spellEnd"/>
      <w:r>
        <w:t xml:space="preserve">. </w:t>
      </w:r>
      <w:proofErr w:type="spellStart"/>
      <w:r>
        <w:rPr>
          <w:i/>
        </w:rPr>
        <w:t>Pediatrics</w:t>
      </w:r>
      <w:proofErr w:type="spellEnd"/>
      <w:r>
        <w:rPr>
          <w:i/>
        </w:rPr>
        <w:t>, 146</w:t>
      </w:r>
      <w:r>
        <w:t>(1), e20201306.</w:t>
      </w:r>
      <w:hyperlink r:id="rId53">
        <w:r>
          <w:t xml:space="preserve"> https://doi.org/10.1542/peds.2020-1306</w:t>
        </w:r>
      </w:hyperlink>
    </w:p>
    <w:p w14:paraId="4FC6AEFA" w14:textId="77777777" w:rsidR="00C33A41" w:rsidRDefault="007B3952">
      <w:pPr>
        <w:spacing w:line="240" w:lineRule="auto"/>
        <w:ind w:left="709" w:hanging="709"/>
      </w:pPr>
      <w:r>
        <w:lastRenderedPageBreak/>
        <w:t xml:space="preserve">Coutinho, L. G., </w:t>
      </w:r>
      <w:proofErr w:type="spellStart"/>
      <w:r>
        <w:t>Saggese</w:t>
      </w:r>
      <w:proofErr w:type="spellEnd"/>
      <w:r>
        <w:t xml:space="preserve">, E. G., &amp; Cabral, I. E. (2021). Agravamento das vulnerabilidades infanto-juvenis: uma análise sociopolítica do sofrimento psíquico durante a pandemia de COVID-19. </w:t>
      </w:r>
      <w:proofErr w:type="spellStart"/>
      <w:r>
        <w:rPr>
          <w:i/>
        </w:rPr>
        <w:t>Desidades</w:t>
      </w:r>
      <w:proofErr w:type="spellEnd"/>
      <w:r>
        <w:rPr>
          <w:i/>
        </w:rPr>
        <w:t>, 31</w:t>
      </w:r>
      <w:r>
        <w:t>, 70-88.</w:t>
      </w:r>
      <w:hyperlink r:id="rId54">
        <w:r>
          <w:t xml:space="preserve"> https://doi.org/10.54948/desidades.voi31.46041</w:t>
        </w:r>
      </w:hyperlink>
    </w:p>
    <w:p w14:paraId="14338709" w14:textId="77777777" w:rsidR="00C33A41" w:rsidRDefault="007B3952">
      <w:pPr>
        <w:spacing w:line="240" w:lineRule="auto"/>
        <w:ind w:left="709" w:hanging="709"/>
      </w:pPr>
      <w:r>
        <w:t xml:space="preserve">Damon, W. (2009). </w:t>
      </w:r>
      <w:r>
        <w:rPr>
          <w:i/>
        </w:rPr>
        <w:t>O que o jovem quer da vida? Como pais e professores podem orientar e motivar os adolescentes</w:t>
      </w:r>
      <w:r>
        <w:t xml:space="preserve">. (J. </w:t>
      </w:r>
      <w:proofErr w:type="spellStart"/>
      <w:r>
        <w:t>Valpassos</w:t>
      </w:r>
      <w:proofErr w:type="spellEnd"/>
      <w:r>
        <w:t xml:space="preserve">, Trans.) São Paulo: </w:t>
      </w:r>
      <w:proofErr w:type="spellStart"/>
      <w:r>
        <w:t>Summus</w:t>
      </w:r>
      <w:proofErr w:type="spellEnd"/>
      <w:r>
        <w:t xml:space="preserve">. </w:t>
      </w:r>
    </w:p>
    <w:p w14:paraId="17D0326C" w14:textId="77777777" w:rsidR="00C33A41" w:rsidRDefault="007B3952">
      <w:pPr>
        <w:spacing w:line="240" w:lineRule="auto"/>
        <w:ind w:left="709" w:hanging="709"/>
      </w:pPr>
      <w:r>
        <w:t xml:space="preserve">Decreto nº 10.282, de 20 de março de 2020. (2020, 20 de março). </w:t>
      </w:r>
      <w:r>
        <w:rPr>
          <w:color w:val="363636"/>
          <w:highlight w:val="white"/>
        </w:rPr>
        <w:t xml:space="preserve">Regulamenta a Lei nº 13.979, de 6 de fevereiro de 2020, para definir os serviços públicos e as atividades essenciais. </w:t>
      </w:r>
      <w:r>
        <w:t>Diário Oficial da União, Brasília.</w:t>
      </w:r>
      <w:r>
        <w:rPr>
          <w:color w:val="363636"/>
          <w:highlight w:val="white"/>
        </w:rPr>
        <w:t xml:space="preserve"> Recuperado de: </w:t>
      </w:r>
      <w:hyperlink r:id="rId55" w:anchor=":~:text=Regulamenta%20a%20Lei%20n%C2%BA%2013.979,p%C3%BAblicos%20e%20as%20atividades%20essenciais.&amp;text=Objeto-,Art.,p%C3%BAblicos%20e%20as%20atividades%20essenciais">
        <w:r>
          <w:rPr>
            <w:color w:val="0563C1"/>
            <w:highlight w:val="white"/>
            <w:u w:val="single"/>
          </w:rPr>
          <w:t>https://www2.camara.leg.br/legin/fed/decret/2020/decreto-10282-20-marco-2020-789863-publicacaooriginal-160165-pe.html#:~:text=Regulamenta%20a%20Lei%20n%C2%BA%2013.979,p%C3%BAblicos%20e%20as%20atividades%20essenciais.&amp;text=Objeto-,Art.,p%C3%BAblicos%20e%20as%20atividades%20essenciais</w:t>
        </w:r>
      </w:hyperlink>
      <w:r>
        <w:rPr>
          <w:color w:val="363636"/>
          <w:highlight w:val="white"/>
        </w:rPr>
        <w:t xml:space="preserve">. </w:t>
      </w:r>
      <w:r>
        <w:t>Acesso em: 24 fev. 2021.</w:t>
      </w:r>
    </w:p>
    <w:p w14:paraId="292B1E05" w14:textId="77777777" w:rsidR="00C33A41" w:rsidRDefault="007B3952">
      <w:pPr>
        <w:spacing w:line="240" w:lineRule="auto"/>
        <w:ind w:left="709" w:hanging="709"/>
      </w:pPr>
      <w:proofErr w:type="spellStart"/>
      <w:r>
        <w:t>Dellazzana</w:t>
      </w:r>
      <w:proofErr w:type="spellEnd"/>
      <w:r>
        <w:t xml:space="preserve">-Zanon, L. L., &amp; Freitas, L. B. de L. (2015). Uma revisão de literatura sobre a definição de projeto de vida na adolescência. </w:t>
      </w:r>
      <w:r>
        <w:rPr>
          <w:i/>
        </w:rPr>
        <w:t>Interação em Psicologia, 19</w:t>
      </w:r>
      <w:r>
        <w:t xml:space="preserve">(2). </w:t>
      </w:r>
      <w:proofErr w:type="spellStart"/>
      <w:r>
        <w:t>doi</w:t>
      </w:r>
      <w:proofErr w:type="spellEnd"/>
      <w:r>
        <w:t xml:space="preserve">: </w:t>
      </w:r>
      <w:hyperlink r:id="rId56">
        <w:r>
          <w:rPr>
            <w:color w:val="0563C1"/>
            <w:u w:val="single"/>
          </w:rPr>
          <w:t>http://dx.doi.org/10.5380/psi.v19i2.35218</w:t>
        </w:r>
      </w:hyperlink>
      <w:r>
        <w:t xml:space="preserve">. </w:t>
      </w:r>
    </w:p>
    <w:p w14:paraId="762B75E9" w14:textId="77777777" w:rsidR="00C33A41" w:rsidRDefault="007B3952">
      <w:pPr>
        <w:spacing w:line="240" w:lineRule="auto"/>
        <w:ind w:left="709" w:hanging="709"/>
      </w:pPr>
      <w:r>
        <w:t xml:space="preserve">Dong, Y., Mo, X., Hu, Y., Qi, X., Jiang, F., Jiang, Z., et al. (2020). </w:t>
      </w:r>
      <w:proofErr w:type="spellStart"/>
      <w:r>
        <w:t>Epidemiological</w:t>
      </w:r>
      <w:proofErr w:type="spellEnd"/>
      <w:r>
        <w:t xml:space="preserve"> </w:t>
      </w:r>
      <w:proofErr w:type="spellStart"/>
      <w:r>
        <w:t>Characteristics</w:t>
      </w:r>
      <w:proofErr w:type="spellEnd"/>
      <w:r>
        <w:t xml:space="preserve"> </w:t>
      </w:r>
      <w:proofErr w:type="spellStart"/>
      <w:r>
        <w:t>of</w:t>
      </w:r>
      <w:proofErr w:type="spellEnd"/>
      <w:r>
        <w:t xml:space="preserve"> 2143 </w:t>
      </w:r>
      <w:proofErr w:type="spellStart"/>
      <w:r>
        <w:t>Pediatric</w:t>
      </w:r>
      <w:proofErr w:type="spellEnd"/>
      <w:r>
        <w:t xml:space="preserve"> </w:t>
      </w:r>
      <w:proofErr w:type="spellStart"/>
      <w:r>
        <w:t>Patients</w:t>
      </w:r>
      <w:proofErr w:type="spellEnd"/>
      <w:r>
        <w:t xml:space="preserve"> </w:t>
      </w:r>
      <w:proofErr w:type="spellStart"/>
      <w:r>
        <w:t>With</w:t>
      </w:r>
      <w:proofErr w:type="spellEnd"/>
      <w:r>
        <w:t xml:space="preserve"> 2019 </w:t>
      </w:r>
      <w:proofErr w:type="spellStart"/>
      <w:r>
        <w:t>Coronavirus</w:t>
      </w:r>
      <w:proofErr w:type="spellEnd"/>
      <w:r>
        <w:t xml:space="preserve"> </w:t>
      </w:r>
      <w:proofErr w:type="spellStart"/>
      <w:r>
        <w:t>Disease</w:t>
      </w:r>
      <w:proofErr w:type="spellEnd"/>
      <w:r>
        <w:t xml:space="preserve"> in China. </w:t>
      </w:r>
      <w:proofErr w:type="spellStart"/>
      <w:r>
        <w:rPr>
          <w:i/>
        </w:rPr>
        <w:t>Pediatrics</w:t>
      </w:r>
      <w:proofErr w:type="spellEnd"/>
      <w:r>
        <w:rPr>
          <w:i/>
        </w:rPr>
        <w:t>, 145</w:t>
      </w:r>
      <w:r>
        <w:t>(6), e20200702.</w:t>
      </w:r>
      <w:hyperlink r:id="rId57">
        <w:r>
          <w:rPr>
            <w:color w:val="0563C1"/>
            <w:u w:val="single"/>
          </w:rPr>
          <w:t xml:space="preserve"> </w:t>
        </w:r>
      </w:hyperlink>
      <w:hyperlink r:id="rId58">
        <w:r>
          <w:t>https://doi.org/10.1542/peds.2020-0702</w:t>
        </w:r>
      </w:hyperlink>
    </w:p>
    <w:p w14:paraId="7C577283" w14:textId="77777777" w:rsidR="00C33A41" w:rsidRDefault="007B3952">
      <w:pPr>
        <w:spacing w:line="240" w:lineRule="auto"/>
        <w:ind w:left="709" w:hanging="709"/>
      </w:pPr>
      <w:r>
        <w:t>Fonseca, S. M. da</w:t>
      </w:r>
      <w:r>
        <w:rPr>
          <w:color w:val="333333"/>
        </w:rPr>
        <w:t xml:space="preserve">. (2021). </w:t>
      </w:r>
      <w:r>
        <w:rPr>
          <w:i/>
          <w:color w:val="333333"/>
          <w:highlight w:val="white"/>
        </w:rPr>
        <w:t>Impacto da pandemia da covid-19 nos projetos de vida de estudantes do ensino superior</w:t>
      </w:r>
      <w:r>
        <w:rPr>
          <w:color w:val="333333"/>
          <w:highlight w:val="white"/>
        </w:rPr>
        <w:t xml:space="preserve"> [</w:t>
      </w:r>
      <w:r>
        <w:rPr>
          <w:color w:val="333333"/>
        </w:rPr>
        <w:t xml:space="preserve">Dissertação de mestrado, Universidade de Lisboa]. Sistema Integrado de Bibliotecas Repositório. Recuperado de: </w:t>
      </w:r>
      <w:hyperlink r:id="rId59">
        <w:r>
          <w:rPr>
            <w:color w:val="0563C1"/>
            <w:u w:val="single"/>
          </w:rPr>
          <w:t>https://repositorio.ul.pt/handle/10451/55635</w:t>
        </w:r>
      </w:hyperlink>
      <w:r>
        <w:rPr>
          <w:color w:val="333333"/>
        </w:rPr>
        <w:t xml:space="preserve"> . Acesso em: 17 set. 2022.</w:t>
      </w:r>
    </w:p>
    <w:p w14:paraId="41D109FE" w14:textId="77777777" w:rsidR="00C33A41" w:rsidRDefault="007B3952">
      <w:pPr>
        <w:spacing w:line="240" w:lineRule="auto"/>
        <w:ind w:left="709" w:hanging="709"/>
        <w:rPr>
          <w:color w:val="0563C1"/>
          <w:u w:val="single"/>
        </w:rPr>
      </w:pPr>
      <w:r>
        <w:t xml:space="preserve">Fonseca, A., &amp; da Silva, S. (2020). O neoliberalismo em tempos de pandemia: o governo Bolsonaro no contexto de crise da Covid-19. </w:t>
      </w:r>
      <w:r>
        <w:rPr>
          <w:i/>
        </w:rPr>
        <w:t>Ágora, 22</w:t>
      </w:r>
      <w:r>
        <w:t xml:space="preserve">(2), 58-75. </w:t>
      </w:r>
      <w:proofErr w:type="spellStart"/>
      <w:r>
        <w:t>doi</w:t>
      </w:r>
      <w:proofErr w:type="spellEnd"/>
      <w:r>
        <w:t xml:space="preserve">: </w:t>
      </w:r>
      <w:hyperlink r:id="rId60">
        <w:r>
          <w:rPr>
            <w:color w:val="0563C1"/>
            <w:u w:val="single"/>
          </w:rPr>
          <w:t>https://doi.org/10.17058/agora.v22i2.15461</w:t>
        </w:r>
      </w:hyperlink>
    </w:p>
    <w:p w14:paraId="0B793F9A" w14:textId="77777777" w:rsidR="00C33A41" w:rsidRDefault="007B3952">
      <w:pPr>
        <w:spacing w:line="240" w:lineRule="auto"/>
        <w:ind w:left="709" w:hanging="709"/>
      </w:pPr>
      <w:r>
        <w:t xml:space="preserve">Fórum Brasileiro de Segurança Pública. (2022). Anuário Brasileiro de Segurança Publica 2022. </w:t>
      </w:r>
      <w:hyperlink r:id="rId61">
        <w:r>
          <w:rPr>
            <w:color w:val="0563C1"/>
            <w:u w:val="single"/>
          </w:rPr>
          <w:t>https://forumseguranca.org.br/wp-content/uploads/2022/06/anuario-2022.pdf?v=15</w:t>
        </w:r>
      </w:hyperlink>
      <w:r>
        <w:t>. Acesso em: 03 jan. 2023.</w:t>
      </w:r>
    </w:p>
    <w:p w14:paraId="4589A0C1" w14:textId="77777777" w:rsidR="00C33A41" w:rsidRDefault="007B3952">
      <w:pPr>
        <w:spacing w:line="240" w:lineRule="auto"/>
        <w:ind w:left="709" w:hanging="709"/>
      </w:pPr>
      <w:r>
        <w:t>Foucault. (2008). O nascimento da biopolítica. São Paulo: Martins Fontes.</w:t>
      </w:r>
    </w:p>
    <w:p w14:paraId="4BE8F397" w14:textId="77777777" w:rsidR="00C33A41" w:rsidRDefault="007B3952">
      <w:pPr>
        <w:spacing w:line="240" w:lineRule="auto"/>
        <w:ind w:left="709" w:hanging="709"/>
      </w:pPr>
      <w:r>
        <w:rPr>
          <w:color w:val="222222"/>
        </w:rPr>
        <w:t xml:space="preserve">França, F. F., Silva, K. V. M. da, &amp; </w:t>
      </w:r>
      <w:proofErr w:type="spellStart"/>
      <w:r>
        <w:rPr>
          <w:color w:val="222222"/>
        </w:rPr>
        <w:t>Tozzo</w:t>
      </w:r>
      <w:proofErr w:type="spellEnd"/>
      <w:r>
        <w:rPr>
          <w:color w:val="222222"/>
        </w:rPr>
        <w:t xml:space="preserve"> da Silva </w:t>
      </w:r>
      <w:proofErr w:type="spellStart"/>
      <w:r>
        <w:rPr>
          <w:color w:val="222222"/>
        </w:rPr>
        <w:t>Zanco</w:t>
      </w:r>
      <w:proofErr w:type="spellEnd"/>
      <w:r>
        <w:rPr>
          <w:color w:val="222222"/>
        </w:rPr>
        <w:t xml:space="preserve">, P. (2022). Escolarização no CENSE no contexto da COVID-19: percepções dos adolescentes sobre a privação de liberdade. </w:t>
      </w:r>
      <w:r>
        <w:rPr>
          <w:i/>
          <w:color w:val="222222"/>
        </w:rPr>
        <w:t>Revista Cocar</w:t>
      </w:r>
      <w:r>
        <w:rPr>
          <w:color w:val="222222"/>
        </w:rPr>
        <w:t xml:space="preserve">, </w:t>
      </w:r>
      <w:r>
        <w:rPr>
          <w:i/>
          <w:color w:val="222222"/>
        </w:rPr>
        <w:t xml:space="preserve">ed. </w:t>
      </w:r>
      <w:proofErr w:type="gramStart"/>
      <w:r>
        <w:rPr>
          <w:i/>
          <w:color w:val="222222"/>
        </w:rPr>
        <w:t>especial</w:t>
      </w:r>
      <w:r>
        <w:rPr>
          <w:color w:val="222222"/>
        </w:rPr>
        <w:t>(</w:t>
      </w:r>
      <w:proofErr w:type="gramEnd"/>
      <w:r>
        <w:rPr>
          <w:color w:val="222222"/>
        </w:rPr>
        <w:t xml:space="preserve">12), 1-20. Recuperado de </w:t>
      </w:r>
      <w:hyperlink r:id="rId62">
        <w:r>
          <w:rPr>
            <w:color w:val="0563C1"/>
            <w:u w:val="single"/>
          </w:rPr>
          <w:t>https://periodicos.uepa.br/index.php/cocar/article/view/4772</w:t>
        </w:r>
      </w:hyperlink>
      <w:r>
        <w:rPr>
          <w:color w:val="222222"/>
        </w:rPr>
        <w:t xml:space="preserve"> </w:t>
      </w:r>
    </w:p>
    <w:p w14:paraId="42D5BBC6" w14:textId="77777777" w:rsidR="00C33A41" w:rsidRDefault="007B3952">
      <w:pPr>
        <w:spacing w:line="240" w:lineRule="auto"/>
        <w:ind w:left="709" w:hanging="709"/>
        <w:rPr>
          <w:color w:val="1155CC"/>
          <w:u w:val="single"/>
        </w:rPr>
      </w:pPr>
      <w:r>
        <w:t xml:space="preserve">Fundação Oswaldo Cruz [Fiocruz]. (2020a). </w:t>
      </w:r>
      <w:proofErr w:type="spellStart"/>
      <w:r>
        <w:rPr>
          <w:i/>
        </w:rPr>
        <w:t>ConVid</w:t>
      </w:r>
      <w:proofErr w:type="spellEnd"/>
      <w:r>
        <w:rPr>
          <w:i/>
        </w:rPr>
        <w:t>: Pesquisa de Comportamentos - Adolescentes</w:t>
      </w:r>
      <w:r>
        <w:t xml:space="preserve">. Rio de Janeiro: Fiocruz. Recuperado de: </w:t>
      </w:r>
      <w:hyperlink r:id="rId63">
        <w:r>
          <w:rPr>
            <w:color w:val="1155CC"/>
            <w:u w:val="single"/>
          </w:rPr>
          <w:t>https://convid.fiocruz.br/index.php?pag=apresentacao_resultado_adolescentes</w:t>
        </w:r>
      </w:hyperlink>
      <w:r>
        <w:rPr>
          <w:color w:val="1155CC"/>
          <w:u w:val="single"/>
        </w:rPr>
        <w:t xml:space="preserve">. </w:t>
      </w:r>
      <w:r>
        <w:t>Acesso em: 16 jan. 2023</w:t>
      </w:r>
    </w:p>
    <w:p w14:paraId="1C91858E" w14:textId="77777777" w:rsidR="00C33A41" w:rsidRDefault="007B3952">
      <w:pPr>
        <w:spacing w:line="240" w:lineRule="auto"/>
        <w:ind w:left="709" w:hanging="709"/>
      </w:pPr>
      <w:r>
        <w:t xml:space="preserve">Fundação Oswaldo Cruz [Fiocruz]. (2020b). Saúde mental atenção psicossocial na pandemia Covid-19. Crianças na pandemia covid-19. Fundação Oswaldo Cruz. Recuperado de: </w:t>
      </w:r>
      <w:hyperlink r:id="rId64">
        <w:r>
          <w:t>https://www.fiocruzbrasilia.fiocruz.br/wp-content/uploads/2020/04/Sa%C3%BAde-Mental-e-Aten%C3%A7%C3%A3o-Psicossocial-na-Pandemia- Covid-19-recomenda%C3%A7%C3%B5es-para-gestores.pdf</w:t>
        </w:r>
      </w:hyperlink>
      <w:r>
        <w:t>. Acesso em: 16 jan. 2023</w:t>
      </w:r>
    </w:p>
    <w:p w14:paraId="15BD5E46" w14:textId="77777777" w:rsidR="00C33A41" w:rsidRDefault="007B3952">
      <w:pPr>
        <w:spacing w:line="240" w:lineRule="auto"/>
        <w:ind w:left="709" w:hanging="709"/>
      </w:pPr>
      <w:r>
        <w:t>Fundo das Nações Unidas para a Infância [UNICEF]. (2020a). UNICEF alerta: situação de crianças e adolescentes se agravou consideravelmente após nove meses de pandemia. Recuperado de</w:t>
      </w:r>
      <w:hyperlink r:id="rId65">
        <w:r>
          <w:t xml:space="preserve"> https://www.unicef.org/brazil/comunicados-de-</w:t>
        </w:r>
        <w:r>
          <w:lastRenderedPageBreak/>
          <w:t>imprensa/unicef-alerta-situacao-de-criancas-e-adolescentes-se-agravou-consideravelmente-apos-nove-meses-pandemia</w:t>
        </w:r>
      </w:hyperlink>
      <w:r>
        <w:t>. Acesso em: 15 ago. 2021.</w:t>
      </w:r>
    </w:p>
    <w:p w14:paraId="1CD65410" w14:textId="77777777" w:rsidR="00C33A41" w:rsidRDefault="007B3952">
      <w:pPr>
        <w:spacing w:line="240" w:lineRule="auto"/>
        <w:ind w:left="709" w:hanging="709"/>
      </w:pPr>
      <w:r>
        <w:t>Fundo das Nações Unidas para a Infância [UNICEF]. (2020b). Covid-19: mais de 97% dos estudantes ainda estão fora das salas de aula na América Latina e no Caribe. Recuperado de</w:t>
      </w:r>
      <w:hyperlink r:id="rId66">
        <w:r>
          <w:t xml:space="preserve"> https://www.unicef.org/brazil/comunicados-de-imprensa/covid-19-mais-de-97-por-cento-dos-estudantes-ainda-estao-fora-das-salas-de-aula-na-america-latina-e-no-caribe</w:t>
        </w:r>
      </w:hyperlink>
      <w:r>
        <w:t>. Acesso em: 15 ago. 2021.</w:t>
      </w:r>
    </w:p>
    <w:p w14:paraId="656398DE" w14:textId="77777777" w:rsidR="00C33A41" w:rsidRDefault="007B3952">
      <w:pPr>
        <w:spacing w:line="240" w:lineRule="auto"/>
        <w:ind w:left="709" w:hanging="709"/>
      </w:pPr>
      <w:r>
        <w:t xml:space="preserve">Fundo das Nações Unidas para a Infância [UNICEF]. (2020c). Impactos Primários e Secundários da COVID-19 em Crianças e Adolescentes Relatório de análise 1ª Onda. Recuperado de: </w:t>
      </w:r>
      <w:hyperlink r:id="rId67">
        <w:r>
          <w:rPr>
            <w:color w:val="0563C1"/>
            <w:u w:val="single"/>
          </w:rPr>
          <w:t>https://www.unicef.org/brazil/media/11331/file/relatorio-analise-impactos-primarios-e-secundarios-da-covid-19-em-criancas-e-adolescentes.pdf</w:t>
        </w:r>
      </w:hyperlink>
      <w:r>
        <w:t>. Acesso em: 21 fev. 2021.</w:t>
      </w:r>
    </w:p>
    <w:p w14:paraId="38EC5930" w14:textId="77777777" w:rsidR="00C33A41" w:rsidRDefault="007B3952">
      <w:pPr>
        <w:spacing w:line="240" w:lineRule="auto"/>
        <w:ind w:left="709" w:hanging="709"/>
      </w:pPr>
      <w:r>
        <w:t xml:space="preserve">Fundo das Nações Unidas para a Infância [UNICEF]. (2021). Nota Técnica: COVID-19 e Crianças e Adolescentes em Privação de Liberdade. Recuperado de: </w:t>
      </w:r>
      <w:hyperlink r:id="rId68">
        <w:r>
          <w:rPr>
            <w:color w:val="0563C1"/>
            <w:u w:val="single"/>
          </w:rPr>
          <w:t>https://www.unicef.org/brazil/media/8466/file/covid-19-e-criancas-e-adolescentes-em-privacao-de-liberdade.pdf</w:t>
        </w:r>
      </w:hyperlink>
      <w:r>
        <w:t xml:space="preserve">. </w:t>
      </w:r>
    </w:p>
    <w:p w14:paraId="5E26466D" w14:textId="77777777" w:rsidR="00C33A41" w:rsidRDefault="007B3952">
      <w:pPr>
        <w:spacing w:line="240" w:lineRule="auto"/>
        <w:ind w:left="709" w:hanging="709"/>
      </w:pPr>
      <w:r>
        <w:t xml:space="preserve">Fundo das Nações Unidas para a Infância [UNICEF]. (2022). Dois milhões de crianças e adolescentes de 11 a 19 anos não estão frequentando a escola no Brasil, alerta UNICEF. Recuperado de: </w:t>
      </w:r>
      <w:hyperlink r:id="rId69">
        <w:r>
          <w:rPr>
            <w:color w:val="0563C1"/>
            <w:u w:val="single"/>
          </w:rPr>
          <w:t>https://www.unicef.org/brazil/comunicados-de-imprensa/dois-milhoes-de-criancas-e-adolescentes-de-11-a-19-anos-nao-estao-frequentando-a-escola-no-brasil</w:t>
        </w:r>
      </w:hyperlink>
      <w:r>
        <w:t xml:space="preserve"> </w:t>
      </w:r>
    </w:p>
    <w:p w14:paraId="7D68A214" w14:textId="77777777" w:rsidR="00C33A41" w:rsidRDefault="007B3952">
      <w:pPr>
        <w:spacing w:line="240" w:lineRule="auto"/>
        <w:ind w:left="709" w:hanging="709"/>
      </w:pPr>
      <w:proofErr w:type="spellStart"/>
      <w:r>
        <w:t>Gadagnoto</w:t>
      </w:r>
      <w:proofErr w:type="spellEnd"/>
      <w:r>
        <w:t>, T. C., Mendes, L. M. C., Monteiro, J. C. dos S., Gomes-</w:t>
      </w:r>
      <w:proofErr w:type="spellStart"/>
      <w:r>
        <w:t>Sponholz</w:t>
      </w:r>
      <w:proofErr w:type="spellEnd"/>
      <w:r>
        <w:t xml:space="preserve">, F. A., &amp; Barbosa, N. </w:t>
      </w:r>
      <w:proofErr w:type="gramStart"/>
      <w:r>
        <w:t>G..</w:t>
      </w:r>
      <w:proofErr w:type="gramEnd"/>
      <w:r>
        <w:t xml:space="preserve"> (2022). </w:t>
      </w:r>
      <w:proofErr w:type="spellStart"/>
      <w:r>
        <w:t>Emotional</w:t>
      </w:r>
      <w:proofErr w:type="spellEnd"/>
      <w:r>
        <w:t xml:space="preserve"> </w:t>
      </w:r>
      <w:proofErr w:type="spellStart"/>
      <w:r>
        <w:t>consequences</w:t>
      </w:r>
      <w:proofErr w:type="spellEnd"/>
      <w:r>
        <w:t xml:space="preserve"> </w:t>
      </w:r>
      <w:proofErr w:type="spellStart"/>
      <w:r>
        <w:t>of</w:t>
      </w:r>
      <w:proofErr w:type="spellEnd"/>
      <w:r>
        <w:t xml:space="preserve"> the COVID-19 </w:t>
      </w:r>
      <w:proofErr w:type="spellStart"/>
      <w:r>
        <w:t>pandemic</w:t>
      </w:r>
      <w:proofErr w:type="spellEnd"/>
      <w:r>
        <w:t xml:space="preserve"> in </w:t>
      </w:r>
      <w:proofErr w:type="spellStart"/>
      <w:r>
        <w:t>adolescents</w:t>
      </w:r>
      <w:proofErr w:type="spellEnd"/>
      <w:r>
        <w:t xml:space="preserve">: </w:t>
      </w:r>
      <w:proofErr w:type="spellStart"/>
      <w:r>
        <w:t>challenges</w:t>
      </w:r>
      <w:proofErr w:type="spellEnd"/>
      <w:r>
        <w:t xml:space="preserve"> to public health. </w:t>
      </w:r>
      <w:r>
        <w:rPr>
          <w:i/>
        </w:rPr>
        <w:t>Revista Da Escola De Enfermagem Da USP, 56</w:t>
      </w:r>
      <w:r>
        <w:t xml:space="preserve">, e20210424. </w:t>
      </w:r>
      <w:hyperlink r:id="rId70">
        <w:r>
          <w:rPr>
            <w:color w:val="0563C1"/>
            <w:u w:val="single"/>
          </w:rPr>
          <w:t>https://doi.org/10.1590/1980-220X-REEUSP-2021-0424</w:t>
        </w:r>
      </w:hyperlink>
    </w:p>
    <w:p w14:paraId="321EDB58" w14:textId="77777777" w:rsidR="00C33A41" w:rsidRDefault="007B3952">
      <w:pPr>
        <w:spacing w:line="240" w:lineRule="auto"/>
        <w:ind w:left="709" w:hanging="709"/>
      </w:pPr>
      <w:r>
        <w:t xml:space="preserve">Gatti, B. A. (2020). Possível reconfiguração dos modelos educacionais pós-pandemia. </w:t>
      </w:r>
      <w:r>
        <w:rPr>
          <w:i/>
        </w:rPr>
        <w:t>Estudos Avançados, 34</w:t>
      </w:r>
      <w:r>
        <w:t>(100), 29-41.</w:t>
      </w:r>
      <w:hyperlink r:id="rId71">
        <w:r>
          <w:t xml:space="preserve"> https://doi.org/10.1590/s0103-4014.2020.34100.003</w:t>
        </w:r>
      </w:hyperlink>
      <w:r>
        <w:t>.</w:t>
      </w:r>
    </w:p>
    <w:p w14:paraId="64D17F08" w14:textId="77777777" w:rsidR="00C33A41" w:rsidRDefault="007B3952">
      <w:pPr>
        <w:spacing w:line="240" w:lineRule="auto"/>
        <w:ind w:left="709" w:hanging="709"/>
      </w:pPr>
      <w:proofErr w:type="spellStart"/>
      <w:r>
        <w:t>Guessoum</w:t>
      </w:r>
      <w:proofErr w:type="spellEnd"/>
      <w:r>
        <w:t xml:space="preserve">, S. B., </w:t>
      </w:r>
      <w:proofErr w:type="spellStart"/>
      <w:r>
        <w:t>Lachal</w:t>
      </w:r>
      <w:proofErr w:type="spellEnd"/>
      <w:r>
        <w:t xml:space="preserve">, J., </w:t>
      </w:r>
      <w:proofErr w:type="spellStart"/>
      <w:r>
        <w:t>Radjack</w:t>
      </w:r>
      <w:proofErr w:type="spellEnd"/>
      <w:r>
        <w:t xml:space="preserve">, R., </w:t>
      </w:r>
      <w:proofErr w:type="spellStart"/>
      <w:r>
        <w:t>Carretier</w:t>
      </w:r>
      <w:proofErr w:type="spellEnd"/>
      <w:r>
        <w:t xml:space="preserve">, E., </w:t>
      </w:r>
      <w:proofErr w:type="spellStart"/>
      <w:r>
        <w:t>Minassian</w:t>
      </w:r>
      <w:proofErr w:type="spellEnd"/>
      <w:r>
        <w:t xml:space="preserve">, S., Benoit, L., &amp; Moro, M. R. (2020).  </w:t>
      </w:r>
      <w:proofErr w:type="spellStart"/>
      <w:r>
        <w:t>Adolescent</w:t>
      </w:r>
      <w:proofErr w:type="spellEnd"/>
      <w:r>
        <w:t xml:space="preserve"> </w:t>
      </w:r>
      <w:proofErr w:type="spellStart"/>
      <w:r>
        <w:t>psychiatric</w:t>
      </w:r>
      <w:proofErr w:type="spellEnd"/>
      <w:r>
        <w:t xml:space="preserve"> </w:t>
      </w:r>
      <w:proofErr w:type="spellStart"/>
      <w:r>
        <w:t>disorders</w:t>
      </w:r>
      <w:proofErr w:type="spellEnd"/>
      <w:r>
        <w:t xml:space="preserve"> </w:t>
      </w:r>
      <w:proofErr w:type="spellStart"/>
      <w:r>
        <w:t>during</w:t>
      </w:r>
      <w:proofErr w:type="spellEnd"/>
      <w:r>
        <w:t xml:space="preserve"> the COVID-19 </w:t>
      </w:r>
      <w:proofErr w:type="spellStart"/>
      <w:r>
        <w:t>pandemic</w:t>
      </w:r>
      <w:proofErr w:type="spellEnd"/>
      <w:r>
        <w:t xml:space="preserve"> </w:t>
      </w:r>
      <w:proofErr w:type="spellStart"/>
      <w:r>
        <w:t>and</w:t>
      </w:r>
      <w:proofErr w:type="spellEnd"/>
      <w:r>
        <w:t xml:space="preserve"> lockdown. </w:t>
      </w:r>
      <w:proofErr w:type="spellStart"/>
      <w:r>
        <w:rPr>
          <w:i/>
        </w:rPr>
        <w:t>Psychiatry</w:t>
      </w:r>
      <w:proofErr w:type="spellEnd"/>
      <w:r>
        <w:rPr>
          <w:i/>
        </w:rPr>
        <w:t xml:space="preserve"> </w:t>
      </w:r>
      <w:proofErr w:type="spellStart"/>
      <w:r>
        <w:rPr>
          <w:i/>
        </w:rPr>
        <w:t>Research</w:t>
      </w:r>
      <w:proofErr w:type="spellEnd"/>
      <w:r>
        <w:rPr>
          <w:i/>
        </w:rPr>
        <w:t>, 291</w:t>
      </w:r>
      <w:r>
        <w:t xml:space="preserve">, 113264. </w:t>
      </w:r>
      <w:hyperlink r:id="rId72">
        <w:r>
          <w:rPr>
            <w:color w:val="0563C1"/>
            <w:u w:val="single"/>
          </w:rPr>
          <w:t>https://doi.org/10.1016/j.psychres.2020.113264</w:t>
        </w:r>
      </w:hyperlink>
      <w:r>
        <w:t>.</w:t>
      </w:r>
    </w:p>
    <w:p w14:paraId="54033B5C" w14:textId="77777777" w:rsidR="00C33A41" w:rsidRDefault="007B3952">
      <w:pPr>
        <w:spacing w:line="240" w:lineRule="auto"/>
        <w:ind w:left="709" w:hanging="709"/>
      </w:pPr>
      <w:r>
        <w:t xml:space="preserve">Gil, A. C. (2010). </w:t>
      </w:r>
      <w:r>
        <w:rPr>
          <w:i/>
        </w:rPr>
        <w:t>Como Elaborar Projetos de Pesquisa</w:t>
      </w:r>
      <w:r>
        <w:t>. 5. ed. São Paulo: Atlas.</w:t>
      </w:r>
    </w:p>
    <w:p w14:paraId="1B091004" w14:textId="77777777" w:rsidR="00C33A41" w:rsidRDefault="007B3952">
      <w:pPr>
        <w:spacing w:line="240" w:lineRule="auto"/>
        <w:ind w:left="709" w:hanging="709"/>
      </w:pPr>
      <w:r>
        <w:t xml:space="preserve">Gomes, M. A., &amp; Pereira, M. L. D. (2005). Família em situação de vulnerabilidade social: uma questão de políticas públicas. </w:t>
      </w:r>
      <w:r>
        <w:rPr>
          <w:i/>
        </w:rPr>
        <w:t>Ciência &amp; Saúde Coletiva, 10</w:t>
      </w:r>
      <w:r>
        <w:t xml:space="preserve">(2), 357–363. </w:t>
      </w:r>
      <w:hyperlink r:id="rId73">
        <w:r>
          <w:rPr>
            <w:color w:val="0563C1"/>
            <w:u w:val="single"/>
          </w:rPr>
          <w:t>https://doi.org/10.1590/S1413-81232005000200013</w:t>
        </w:r>
      </w:hyperlink>
      <w:r>
        <w:t xml:space="preserve"> </w:t>
      </w:r>
    </w:p>
    <w:p w14:paraId="45B829E4" w14:textId="77777777" w:rsidR="00C33A41" w:rsidRDefault="007B3952">
      <w:pPr>
        <w:spacing w:line="240" w:lineRule="auto"/>
        <w:ind w:left="709" w:hanging="709"/>
        <w:rPr>
          <w:color w:val="000000"/>
        </w:rPr>
      </w:pPr>
      <w:r>
        <w:rPr>
          <w:color w:val="000000"/>
        </w:rPr>
        <w:t xml:space="preserve">Gomes, I. D., &amp; Colaço, V. F. R. (2016). Perigo, Aventura e Esperança: Discurso sobre risco em adolescentes autores de atos infracionais. </w:t>
      </w:r>
      <w:r>
        <w:rPr>
          <w:i/>
          <w:color w:val="000000"/>
        </w:rPr>
        <w:t>Revista de Direitos e Garantias Fundamentais, 17</w:t>
      </w:r>
      <w:r>
        <w:rPr>
          <w:color w:val="000000"/>
        </w:rPr>
        <w:t xml:space="preserve">(2), 353-382. </w:t>
      </w:r>
      <w:hyperlink r:id="rId74">
        <w:r>
          <w:rPr>
            <w:color w:val="0563C1"/>
            <w:u w:val="single"/>
          </w:rPr>
          <w:t>https://doi.org/10.18759/rdgf.v17i2.813</w:t>
        </w:r>
      </w:hyperlink>
      <w:r>
        <w:rPr>
          <w:color w:val="000000"/>
        </w:rPr>
        <w:t xml:space="preserve">   </w:t>
      </w:r>
    </w:p>
    <w:p w14:paraId="452BF1C2" w14:textId="77777777" w:rsidR="00C33A41" w:rsidRDefault="007B3952">
      <w:pPr>
        <w:spacing w:line="240" w:lineRule="auto"/>
        <w:ind w:left="709" w:hanging="709"/>
      </w:pPr>
      <w:r>
        <w:t xml:space="preserve">Hernández, J. de G. (2018). </w:t>
      </w:r>
      <w:r>
        <w:rPr>
          <w:i/>
        </w:rPr>
        <w:t>O Adolescente dobrado:  cartografia feminista de uma unidade masculina do Sistema Socioeducativo do Rio de Janeiro</w:t>
      </w:r>
      <w:r>
        <w:t xml:space="preserve"> [Tese de Doutorado, Universidade do Estado do Rio de Janeiro). Biblioteca Digital de teses e Dissertações da Universidade do Estado do Rio de Janeiro. </w:t>
      </w:r>
      <w:hyperlink r:id="rId75">
        <w:r>
          <w:rPr>
            <w:color w:val="0563C1"/>
            <w:u w:val="single"/>
          </w:rPr>
          <w:t>https://www.bdtd.uerj.br:8443/handle/1/15184</w:t>
        </w:r>
      </w:hyperlink>
      <w:r>
        <w:t xml:space="preserve"> </w:t>
      </w:r>
    </w:p>
    <w:p w14:paraId="41E688D3" w14:textId="77777777" w:rsidR="00C33A41" w:rsidRDefault="007B3952">
      <w:pPr>
        <w:spacing w:line="240" w:lineRule="auto"/>
        <w:ind w:left="709" w:hanging="709"/>
      </w:pPr>
      <w:r>
        <w:t xml:space="preserve">Instituto Brasileiro de Geografia e Estatística [IBGE]. (2019). Abandono escolar é oito vezes maior entre jovens de famílias mais pobres. Agência de Notícias IBGE. Recuperado de: </w:t>
      </w:r>
      <w:hyperlink r:id="rId76">
        <w:r>
          <w:rPr>
            <w:color w:val="0563C1"/>
            <w:u w:val="single"/>
          </w:rPr>
          <w:t>https://agenciadenoticias.ibge.gov.br/agencia-noticias/2012-agencia-de-noticias/noticias/25883-abandono-escolar-e-oito-vezes-maior-entre-jovens-de-familias-mais-pobres</w:t>
        </w:r>
      </w:hyperlink>
      <w:r>
        <w:t xml:space="preserve">. </w:t>
      </w:r>
    </w:p>
    <w:p w14:paraId="441BEF54" w14:textId="77777777" w:rsidR="00C33A41" w:rsidRDefault="007B3952">
      <w:pPr>
        <w:spacing w:line="240" w:lineRule="auto"/>
        <w:ind w:left="709" w:hanging="709"/>
      </w:pPr>
      <w:r>
        <w:lastRenderedPageBreak/>
        <w:t xml:space="preserve">Jimenez, L., &amp; </w:t>
      </w:r>
      <w:proofErr w:type="spellStart"/>
      <w:r>
        <w:t>Frasseto</w:t>
      </w:r>
      <w:proofErr w:type="spellEnd"/>
      <w:r>
        <w:t xml:space="preserve">, F. A. (2015). Face da morte: a lei em conflito com o </w:t>
      </w:r>
      <w:proofErr w:type="spellStart"/>
      <w:r>
        <w:t>adolescnete</w:t>
      </w:r>
      <w:proofErr w:type="spellEnd"/>
      <w:r>
        <w:t xml:space="preserve">. </w:t>
      </w:r>
      <w:r>
        <w:rPr>
          <w:i/>
        </w:rPr>
        <w:t>Psicologia &amp; Sociedade, 27</w:t>
      </w:r>
      <w:r>
        <w:t xml:space="preserve">(2), 404–414. </w:t>
      </w:r>
      <w:hyperlink r:id="rId77">
        <w:r>
          <w:rPr>
            <w:color w:val="0563C1"/>
            <w:u w:val="single"/>
          </w:rPr>
          <w:t>https://doi.org/10.1590/1807-03102015v27n2p404</w:t>
        </w:r>
      </w:hyperlink>
      <w:r>
        <w:t xml:space="preserve"> </w:t>
      </w:r>
    </w:p>
    <w:p w14:paraId="7EB939D6" w14:textId="77777777" w:rsidR="00C33A41" w:rsidRDefault="007B3952">
      <w:pPr>
        <w:spacing w:line="240" w:lineRule="auto"/>
        <w:ind w:left="709" w:hanging="709"/>
      </w:pPr>
      <w:r>
        <w:t xml:space="preserve">Jones, B., </w:t>
      </w:r>
      <w:proofErr w:type="spellStart"/>
      <w:r>
        <w:t>Woolfenden</w:t>
      </w:r>
      <w:proofErr w:type="spellEnd"/>
      <w:r>
        <w:t xml:space="preserve">, S., </w:t>
      </w:r>
      <w:proofErr w:type="spellStart"/>
      <w:r>
        <w:t>Pengilly</w:t>
      </w:r>
      <w:proofErr w:type="spellEnd"/>
      <w:r>
        <w:t xml:space="preserve">, S., </w:t>
      </w:r>
      <w:proofErr w:type="spellStart"/>
      <w:r>
        <w:t>Breen</w:t>
      </w:r>
      <w:proofErr w:type="spellEnd"/>
      <w:r>
        <w:t xml:space="preserve">, C., Cohn, R., </w:t>
      </w:r>
      <w:proofErr w:type="spellStart"/>
      <w:r>
        <w:t>Biviano</w:t>
      </w:r>
      <w:proofErr w:type="spellEnd"/>
      <w:r>
        <w:t xml:space="preserve">, L., … </w:t>
      </w:r>
      <w:proofErr w:type="spellStart"/>
      <w:r>
        <w:t>Zwi</w:t>
      </w:r>
      <w:proofErr w:type="spellEnd"/>
      <w:r>
        <w:t xml:space="preserve">, K. (2020). COVID ‐19 </w:t>
      </w:r>
      <w:proofErr w:type="spellStart"/>
      <w:r>
        <w:t>pandemic</w:t>
      </w:r>
      <w:proofErr w:type="spellEnd"/>
      <w:r>
        <w:t xml:space="preserve">: The </w:t>
      </w:r>
      <w:proofErr w:type="spellStart"/>
      <w:r>
        <w:t>impact</w:t>
      </w:r>
      <w:proofErr w:type="spellEnd"/>
      <w:r>
        <w:t xml:space="preserve"> </w:t>
      </w:r>
      <w:proofErr w:type="spellStart"/>
      <w:r>
        <w:t>on</w:t>
      </w:r>
      <w:proofErr w:type="spellEnd"/>
      <w:r>
        <w:t xml:space="preserve"> </w:t>
      </w:r>
      <w:proofErr w:type="spellStart"/>
      <w:r>
        <w:t>vulnerable</w:t>
      </w:r>
      <w:proofErr w:type="spellEnd"/>
      <w:r>
        <w:t xml:space="preserve"> </w:t>
      </w:r>
      <w:proofErr w:type="spellStart"/>
      <w:r>
        <w:t>children</w:t>
      </w:r>
      <w:proofErr w:type="spellEnd"/>
      <w:r>
        <w:t xml:space="preserve"> </w:t>
      </w:r>
      <w:proofErr w:type="spellStart"/>
      <w:r>
        <w:t>and</w:t>
      </w:r>
      <w:proofErr w:type="spellEnd"/>
      <w:r>
        <w:t xml:space="preserve"> </w:t>
      </w:r>
      <w:proofErr w:type="spellStart"/>
      <w:r>
        <w:t>young</w:t>
      </w:r>
      <w:proofErr w:type="spellEnd"/>
      <w:r>
        <w:t xml:space="preserve"> </w:t>
      </w:r>
      <w:proofErr w:type="spellStart"/>
      <w:r>
        <w:t>people</w:t>
      </w:r>
      <w:proofErr w:type="spellEnd"/>
      <w:r>
        <w:t xml:space="preserve"> in Australia. </w:t>
      </w:r>
      <w:proofErr w:type="spellStart"/>
      <w:r>
        <w:rPr>
          <w:i/>
        </w:rPr>
        <w:t>Journal</w:t>
      </w:r>
      <w:proofErr w:type="spellEnd"/>
      <w:r>
        <w:rPr>
          <w:i/>
        </w:rPr>
        <w:t xml:space="preserve"> </w:t>
      </w:r>
      <w:proofErr w:type="spellStart"/>
      <w:r>
        <w:rPr>
          <w:i/>
        </w:rPr>
        <w:t>of</w:t>
      </w:r>
      <w:proofErr w:type="spellEnd"/>
      <w:r>
        <w:rPr>
          <w:i/>
        </w:rPr>
        <w:t xml:space="preserve"> </w:t>
      </w:r>
      <w:proofErr w:type="spellStart"/>
      <w:r>
        <w:rPr>
          <w:i/>
        </w:rPr>
        <w:t>Paediatrics</w:t>
      </w:r>
      <w:proofErr w:type="spellEnd"/>
      <w:r>
        <w:rPr>
          <w:i/>
        </w:rPr>
        <w:t xml:space="preserve"> </w:t>
      </w:r>
      <w:proofErr w:type="spellStart"/>
      <w:r>
        <w:rPr>
          <w:i/>
        </w:rPr>
        <w:t>and</w:t>
      </w:r>
      <w:proofErr w:type="spellEnd"/>
      <w:r>
        <w:rPr>
          <w:i/>
        </w:rPr>
        <w:t xml:space="preserve"> </w:t>
      </w:r>
      <w:proofErr w:type="spellStart"/>
      <w:r>
        <w:rPr>
          <w:i/>
        </w:rPr>
        <w:t>Child</w:t>
      </w:r>
      <w:proofErr w:type="spellEnd"/>
      <w:r>
        <w:rPr>
          <w:i/>
        </w:rPr>
        <w:t xml:space="preserve"> Health</w:t>
      </w:r>
      <w:r>
        <w:t>. doi:10.1111/jpc.15169</w:t>
      </w:r>
    </w:p>
    <w:p w14:paraId="22ECBC28" w14:textId="77777777" w:rsidR="00C33A41" w:rsidRDefault="007B3952">
      <w:pPr>
        <w:spacing w:line="240" w:lineRule="auto"/>
        <w:ind w:left="709" w:hanging="709"/>
      </w:pPr>
      <w:r>
        <w:t xml:space="preserve">Julião, E., &amp; Mendes, C. (2019). </w:t>
      </w:r>
      <w:r>
        <w:rPr>
          <w:i/>
        </w:rPr>
        <w:t>Trajetórias de vida de jovens em situação de privação de liberdade no sistema socioeducativo do estado do Rio de Janeiro</w:t>
      </w:r>
      <w:r>
        <w:t xml:space="preserve">. Rio de Janeiro: </w:t>
      </w:r>
      <w:proofErr w:type="spellStart"/>
      <w:r>
        <w:t>Degase</w:t>
      </w:r>
      <w:proofErr w:type="spellEnd"/>
      <w:r>
        <w:t xml:space="preserve">. Recuperado de: </w:t>
      </w:r>
      <w:hyperlink r:id="rId78">
        <w:r>
          <w:t>http://www.degase.rj.gov.br/publicacoes2019/RelatorioPesquisaJovens.pdf</w:t>
        </w:r>
      </w:hyperlink>
      <w:r>
        <w:t>. Acesso em: 17 ago. 2022.</w:t>
      </w:r>
    </w:p>
    <w:p w14:paraId="6EFB1648" w14:textId="77777777" w:rsidR="00C33A41" w:rsidRDefault="007B3952">
      <w:pPr>
        <w:spacing w:line="240" w:lineRule="auto"/>
        <w:ind w:left="709" w:hanging="709"/>
      </w:pPr>
      <w:r>
        <w:t xml:space="preserve">Leão, M. A. B. G., Souza, Z. R. </w:t>
      </w:r>
      <w:proofErr w:type="gramStart"/>
      <w:r>
        <w:t>de .</w:t>
      </w:r>
      <w:proofErr w:type="gramEnd"/>
      <w:r>
        <w:t xml:space="preserve">, &amp; Castro, M. A. C. D. de .. (2015). Desenvolvimento humano e teoria bioecológica: ensaio sobre "O contador de histórias". </w:t>
      </w:r>
      <w:r>
        <w:rPr>
          <w:i/>
        </w:rPr>
        <w:t>Psicologia Escolar e Educacional, 19</w:t>
      </w:r>
      <w:r>
        <w:t xml:space="preserve">(2), 341–348. </w:t>
      </w:r>
      <w:hyperlink r:id="rId79">
        <w:r>
          <w:rPr>
            <w:color w:val="0563C1"/>
            <w:u w:val="single"/>
          </w:rPr>
          <w:t>https://doi.org/10.1590/2175-3539/2015/0192846</w:t>
        </w:r>
      </w:hyperlink>
      <w:r>
        <w:t xml:space="preserve"> </w:t>
      </w:r>
    </w:p>
    <w:p w14:paraId="3192BA7F" w14:textId="77777777" w:rsidR="00C33A41" w:rsidRDefault="007B3952">
      <w:pPr>
        <w:spacing w:line="240" w:lineRule="auto"/>
        <w:ind w:left="709" w:hanging="709"/>
      </w:pPr>
      <w:r>
        <w:t xml:space="preserve">Lei n.8.069, de 13 de julho de 1990. (1990, 13 de julho). Dispõe sobre o Estatuto da Criança e do Adolescente e dá outras providências. Diário Oficial da União, Brasília. </w:t>
      </w:r>
      <w:hyperlink r:id="rId80">
        <w:r>
          <w:rPr>
            <w:color w:val="0563C1"/>
            <w:u w:val="single"/>
          </w:rPr>
          <w:t>https://www.planalto.gov.br/ccivil_03/leis/l8069.htm</w:t>
        </w:r>
      </w:hyperlink>
      <w:r>
        <w:t xml:space="preserve">. Acesso em: 24 fev. 2021. </w:t>
      </w:r>
    </w:p>
    <w:p w14:paraId="65097B04" w14:textId="77777777" w:rsidR="00C33A41" w:rsidRDefault="007B3952">
      <w:pPr>
        <w:spacing w:line="240" w:lineRule="auto"/>
        <w:ind w:left="709" w:hanging="709"/>
      </w:pPr>
      <w:bookmarkStart w:id="63" w:name="_heading=h.3hv69ve" w:colFirst="0" w:colLast="0"/>
      <w:bookmarkEnd w:id="63"/>
      <w:r>
        <w:t xml:space="preserve">Lei nº 12.594, de 18 de janeiro de 2012. (2012, 18 de janeiro). Institui o Sistema Nacional de Atendimento Socioeducativo (Sinase), regulamenta a execução das medidas socioeducativas destinadas a adolescente que pratique ato infracional; e altera as Leis </w:t>
      </w:r>
      <w:proofErr w:type="spellStart"/>
      <w:r>
        <w:t>nºs</w:t>
      </w:r>
      <w:proofErr w:type="spellEnd"/>
      <w:r>
        <w:t xml:space="preserve"> 8.069, de 13 de julho de 1990 (Estatuto da Criança e do Adolescente); 7.560, de 19 de dezembro de 1986, 7.998, de 11 de janeiro de 1990, 5.537, de 21 de novembro de 1968, 8.315, de 23 de dezembro de 1991, 8.706, de 14 de setembro de 1993, os Decretos-Leis </w:t>
      </w:r>
      <w:proofErr w:type="spellStart"/>
      <w:r>
        <w:t>nºs</w:t>
      </w:r>
      <w:proofErr w:type="spellEnd"/>
      <w:r>
        <w:t xml:space="preserve"> 4.048, de 22 de janeiro de 1942, 8.621, de 10 de janeiro de 1946, e a Consolidação das Leis do Trabalho (CLT), aprovada pelo Decreto-Lei nº 5.452, de 1º de maio de 1943. Diário Oficial da União, Brasília. </w:t>
      </w:r>
      <w:hyperlink r:id="rId81">
        <w:r>
          <w:rPr>
            <w:color w:val="000000"/>
            <w:u w:val="single"/>
          </w:rPr>
          <w:t>https://www.planalto.gov.br/ccivil_03/_Ato2011-2014/2012/Lei/L12594.htm</w:t>
        </w:r>
      </w:hyperlink>
      <w:r>
        <w:t>. Acesso em: 24 fev. 2021.</w:t>
      </w:r>
    </w:p>
    <w:p w14:paraId="37C14356" w14:textId="77777777" w:rsidR="00C33A41" w:rsidRDefault="007B3952">
      <w:pPr>
        <w:spacing w:line="240" w:lineRule="auto"/>
        <w:ind w:left="709" w:hanging="709"/>
        <w:rPr>
          <w:b/>
        </w:rPr>
      </w:pPr>
      <w:r>
        <w:t xml:space="preserve">Li, N., Quintana, D., Shelton, M., &amp; </w:t>
      </w:r>
      <w:proofErr w:type="spellStart"/>
      <w:r>
        <w:t>Grigorenko</w:t>
      </w:r>
      <w:proofErr w:type="spellEnd"/>
      <w:r>
        <w:t xml:space="preserve">, E. L. (2023). </w:t>
      </w:r>
      <w:proofErr w:type="spellStart"/>
      <w:r>
        <w:t>Impact</w:t>
      </w:r>
      <w:proofErr w:type="spellEnd"/>
      <w:r>
        <w:t xml:space="preserve"> </w:t>
      </w:r>
      <w:proofErr w:type="spellStart"/>
      <w:r>
        <w:t>of</w:t>
      </w:r>
      <w:proofErr w:type="spellEnd"/>
      <w:r>
        <w:t xml:space="preserve"> the COVID-19 </w:t>
      </w:r>
      <w:proofErr w:type="spellStart"/>
      <w:r>
        <w:t>pandemic</w:t>
      </w:r>
      <w:proofErr w:type="spellEnd"/>
      <w:r>
        <w:t xml:space="preserve"> </w:t>
      </w:r>
      <w:proofErr w:type="spellStart"/>
      <w:r>
        <w:t>on</w:t>
      </w:r>
      <w:proofErr w:type="spellEnd"/>
      <w:r>
        <w:t xml:space="preserve"> </w:t>
      </w:r>
      <w:proofErr w:type="spellStart"/>
      <w:r>
        <w:t>youth</w:t>
      </w:r>
      <w:proofErr w:type="spellEnd"/>
      <w:r>
        <w:t xml:space="preserve"> </w:t>
      </w:r>
      <w:proofErr w:type="spellStart"/>
      <w:r>
        <w:t>delinquency</w:t>
      </w:r>
      <w:proofErr w:type="spellEnd"/>
      <w:r>
        <w:t xml:space="preserve">: A </w:t>
      </w:r>
      <w:proofErr w:type="spellStart"/>
      <w:r>
        <w:t>discontinuous</w:t>
      </w:r>
      <w:proofErr w:type="spellEnd"/>
      <w:r>
        <w:t xml:space="preserve"> </w:t>
      </w:r>
      <w:proofErr w:type="spellStart"/>
      <w:r>
        <w:t>growth</w:t>
      </w:r>
      <w:proofErr w:type="spellEnd"/>
      <w:r>
        <w:t xml:space="preserve"> </w:t>
      </w:r>
      <w:proofErr w:type="spellStart"/>
      <w:r>
        <w:t>analysis</w:t>
      </w:r>
      <w:proofErr w:type="spellEnd"/>
      <w:r>
        <w:t xml:space="preserve">. </w:t>
      </w:r>
      <w:proofErr w:type="spellStart"/>
      <w:r>
        <w:rPr>
          <w:i/>
        </w:rPr>
        <w:t>Frontiers</w:t>
      </w:r>
      <w:proofErr w:type="spellEnd"/>
      <w:r>
        <w:rPr>
          <w:i/>
        </w:rPr>
        <w:t xml:space="preserve"> in. </w:t>
      </w:r>
      <w:proofErr w:type="spellStart"/>
      <w:r>
        <w:rPr>
          <w:i/>
        </w:rPr>
        <w:t>Education</w:t>
      </w:r>
      <w:proofErr w:type="spellEnd"/>
      <w:r>
        <w:rPr>
          <w:i/>
        </w:rPr>
        <w:t>, 8</w:t>
      </w:r>
      <w:r>
        <w:t xml:space="preserve">, 1007807. </w:t>
      </w:r>
      <w:hyperlink r:id="rId82">
        <w:r>
          <w:rPr>
            <w:color w:val="0563C1"/>
            <w:u w:val="single"/>
          </w:rPr>
          <w:t>https://doi.org/10.3389/feduc.2023.1007807</w:t>
        </w:r>
      </w:hyperlink>
      <w:r>
        <w:t xml:space="preserve"> </w:t>
      </w:r>
    </w:p>
    <w:p w14:paraId="0C410FE4" w14:textId="77777777" w:rsidR="00C33A41" w:rsidRDefault="007B3952">
      <w:pPr>
        <w:spacing w:line="240" w:lineRule="auto"/>
        <w:ind w:left="709" w:hanging="709"/>
      </w:pPr>
      <w:r>
        <w:t xml:space="preserve">Lucas, L. S., Alvin, A., Porto, D. M., Silva, A. G. da, &amp; Pinheiro, M. I. C. (2020). Impactos da pandemia de Covid-19 na saúde mental de crianças e adolescentes: orientações do departamento de psiquiatria da infância e adolescência da Associação Brasileira de Psiquiatria. </w:t>
      </w:r>
      <w:r>
        <w:rPr>
          <w:i/>
        </w:rPr>
        <w:t>Debates Em Psiquiatria, 10</w:t>
      </w:r>
      <w:r>
        <w:t>(2), 74–77.</w:t>
      </w:r>
      <w:hyperlink r:id="rId83">
        <w:r>
          <w:t xml:space="preserve"> https://doi.org/10.25118/2236-918X-10-2-8</w:t>
        </w:r>
      </w:hyperlink>
    </w:p>
    <w:p w14:paraId="370B428B" w14:textId="77777777" w:rsidR="00C33A41" w:rsidRDefault="007B3952">
      <w:pPr>
        <w:spacing w:line="240" w:lineRule="auto"/>
        <w:ind w:left="709" w:hanging="709"/>
      </w:pPr>
      <w:r>
        <w:t xml:space="preserve">Marcelino, M. Q. dos S., Catão, M. de F. F. M., &amp; Lima, C. M. P. de. (2009). Representações sociais do projeto de vida entre adolescentes no ensino médio. </w:t>
      </w:r>
      <w:r>
        <w:rPr>
          <w:i/>
        </w:rPr>
        <w:t>Psicologia: Ciência e Profissão, 29</w:t>
      </w:r>
      <w:r>
        <w:t xml:space="preserve">(3), 544-557. </w:t>
      </w:r>
      <w:hyperlink r:id="rId84">
        <w:r>
          <w:t>https://dx.doi.org/10.1590/S1414-98932009000300009</w:t>
        </w:r>
      </w:hyperlink>
      <w:r>
        <w:t xml:space="preserve"> </w:t>
      </w:r>
    </w:p>
    <w:p w14:paraId="4604A87C" w14:textId="77777777" w:rsidR="00C33A41" w:rsidRDefault="007B3952">
      <w:pPr>
        <w:spacing w:line="240" w:lineRule="auto"/>
        <w:ind w:left="709" w:hanging="709"/>
      </w:pPr>
      <w:r>
        <w:t xml:space="preserve">Marques, E. S., Moraes, C. L. </w:t>
      </w:r>
      <w:proofErr w:type="gramStart"/>
      <w:r>
        <w:t xml:space="preserve">de, </w:t>
      </w:r>
      <w:proofErr w:type="spellStart"/>
      <w:r>
        <w:t>Hasselmann</w:t>
      </w:r>
      <w:proofErr w:type="spellEnd"/>
      <w:proofErr w:type="gramEnd"/>
      <w:r>
        <w:t xml:space="preserve">, M. H., </w:t>
      </w:r>
      <w:proofErr w:type="spellStart"/>
      <w:r>
        <w:t>Deslandes</w:t>
      </w:r>
      <w:proofErr w:type="spellEnd"/>
      <w:r>
        <w:t xml:space="preserve">, S. F., &amp; </w:t>
      </w:r>
      <w:proofErr w:type="spellStart"/>
      <w:r>
        <w:t>Reichenheim</w:t>
      </w:r>
      <w:proofErr w:type="spellEnd"/>
      <w:r>
        <w:t xml:space="preserve">, M. E. (2020). A violência contra mulheres, crianças e adolescentes em tempos de pandemia pela COVID-19: panorama, motivações e formas de enfrentamento. </w:t>
      </w:r>
      <w:r>
        <w:rPr>
          <w:i/>
        </w:rPr>
        <w:t>Cadernos de Saúde Pública, 36</w:t>
      </w:r>
      <w:r>
        <w:t>(4), e00074420.</w:t>
      </w:r>
      <w:hyperlink r:id="rId85">
        <w:r>
          <w:rPr>
            <w:color w:val="0563C1"/>
            <w:u w:val="single"/>
          </w:rPr>
          <w:t xml:space="preserve"> https://doi.org/10.1590/0102-311x00074420</w:t>
        </w:r>
      </w:hyperlink>
    </w:p>
    <w:p w14:paraId="3BC07CA8" w14:textId="77777777" w:rsidR="00C33A41" w:rsidRDefault="007B3952">
      <w:pPr>
        <w:spacing w:line="240" w:lineRule="auto"/>
        <w:ind w:left="709" w:hanging="709"/>
      </w:pPr>
      <w:r>
        <w:rPr>
          <w:color w:val="000000"/>
        </w:rPr>
        <w:t>Medeiros, F. C. de, &amp; Paiva, I. L. de. (2015). A convivência familiar no processo socioeducativo de adolescentes em privação de liberdade. </w:t>
      </w:r>
      <w:r>
        <w:rPr>
          <w:i/>
          <w:color w:val="000000"/>
        </w:rPr>
        <w:t xml:space="preserve">Estudos e Pesquisas em </w:t>
      </w:r>
      <w:r>
        <w:rPr>
          <w:i/>
          <w:color w:val="000000"/>
        </w:rPr>
        <w:lastRenderedPageBreak/>
        <w:t>Psicologia</w:t>
      </w:r>
      <w:r>
        <w:rPr>
          <w:color w:val="000000"/>
        </w:rPr>
        <w:t>, </w:t>
      </w:r>
      <w:r>
        <w:rPr>
          <w:i/>
          <w:color w:val="000000"/>
        </w:rPr>
        <w:t>15</w:t>
      </w:r>
      <w:r>
        <w:rPr>
          <w:color w:val="000000"/>
        </w:rPr>
        <w:t xml:space="preserve">(2), 568-586. Recuperado de: </w:t>
      </w:r>
      <w:hyperlink r:id="rId86">
        <w:r>
          <w:rPr>
            <w:color w:val="0563C1"/>
            <w:u w:val="single"/>
          </w:rPr>
          <w:t>http://pepsic.bvsalud.org/scielo.php?script=sci_arttext&amp;pid=S1808-42812015000200008&amp;lng=pt&amp;tlng=pt</w:t>
        </w:r>
      </w:hyperlink>
      <w:r>
        <w:rPr>
          <w:color w:val="000000"/>
        </w:rPr>
        <w:t>. Acesso em: 17 set. 2023.</w:t>
      </w:r>
    </w:p>
    <w:p w14:paraId="627B0A2D" w14:textId="77777777" w:rsidR="00C33A41" w:rsidRDefault="007B3952">
      <w:pPr>
        <w:spacing w:line="240" w:lineRule="auto"/>
        <w:ind w:left="709" w:hanging="709"/>
      </w:pPr>
      <w:r>
        <w:t xml:space="preserve">Melo, C., &amp; Cabral, S. (2020). A grande crise e as crises brasileiras: o efeito catalizador da Covid-19. </w:t>
      </w:r>
      <w:r>
        <w:rPr>
          <w:i/>
        </w:rPr>
        <w:t>Gestão E Sociedade, 14</w:t>
      </w:r>
      <w:r>
        <w:t>(39), 3681–3688.</w:t>
      </w:r>
      <w:hyperlink r:id="rId87">
        <w:r>
          <w:t xml:space="preserve"> https://doi.org/10.21171/ges.v14i39.3259</w:t>
        </w:r>
      </w:hyperlink>
    </w:p>
    <w:p w14:paraId="254255B0" w14:textId="77777777" w:rsidR="00C33A41" w:rsidRDefault="007B3952">
      <w:pPr>
        <w:spacing w:line="240" w:lineRule="auto"/>
        <w:ind w:left="709" w:hanging="709"/>
      </w:pPr>
      <w:r>
        <w:t xml:space="preserve">Mello, S. L. (2014). A violência urbana e a exclusão dos jovens. In B. </w:t>
      </w:r>
      <w:proofErr w:type="spellStart"/>
      <w:r>
        <w:t>Sawaia</w:t>
      </w:r>
      <w:proofErr w:type="spellEnd"/>
      <w:r>
        <w:t xml:space="preserve"> (Org.), </w:t>
      </w:r>
      <w:r>
        <w:rPr>
          <w:i/>
        </w:rPr>
        <w:t>As artimanhas da exclusão</w:t>
      </w:r>
      <w:r>
        <w:t xml:space="preserve"> (14a ed., pp. 131-142). Petrópolis, RJ: Vozes. </w:t>
      </w:r>
    </w:p>
    <w:p w14:paraId="7CDE05A5" w14:textId="77777777" w:rsidR="00C33A41" w:rsidRDefault="007B3952">
      <w:pPr>
        <w:spacing w:line="240" w:lineRule="auto"/>
        <w:ind w:left="709" w:hanging="709"/>
      </w:pPr>
      <w:r>
        <w:rPr>
          <w:color w:val="000000"/>
        </w:rPr>
        <w:t xml:space="preserve">Mendes, J. T. N. (2008). </w:t>
      </w:r>
      <w:r>
        <w:rPr>
          <w:i/>
          <w:color w:val="000000"/>
        </w:rPr>
        <w:t xml:space="preserve">O projeto de vida de jovens pobres na vivência do tempo presente </w:t>
      </w:r>
      <w:r>
        <w:rPr>
          <w:color w:val="000000"/>
        </w:rPr>
        <w:t xml:space="preserve">[Dissertação de mestrado, Universidade Federal de Juiz de Fora]. Repositório Institucional da UFJF. Recuperado de: </w:t>
      </w:r>
      <w:hyperlink r:id="rId88">
        <w:r>
          <w:rPr>
            <w:color w:val="0563C1"/>
            <w:u w:val="single"/>
          </w:rPr>
          <w:t>https://repositorio.ufjf.br/jspui/bitstream/ufjf/2897/1/julianathimoteonazarenomendes.pdf</w:t>
        </w:r>
      </w:hyperlink>
      <w:r>
        <w:rPr>
          <w:color w:val="000000"/>
        </w:rPr>
        <w:t>. Acesso em: 07 ago. 2022.</w:t>
      </w:r>
    </w:p>
    <w:p w14:paraId="6C8B7A6F" w14:textId="77777777" w:rsidR="00C33A41" w:rsidRDefault="007B3952">
      <w:pPr>
        <w:spacing w:line="240" w:lineRule="auto"/>
        <w:ind w:left="709" w:hanging="709"/>
      </w:pPr>
      <w:proofErr w:type="spellStart"/>
      <w:r>
        <w:t>Minayo</w:t>
      </w:r>
      <w:proofErr w:type="spellEnd"/>
      <w:r>
        <w:t xml:space="preserve">, M. C. S. (2001). </w:t>
      </w:r>
      <w:r>
        <w:rPr>
          <w:i/>
        </w:rPr>
        <w:t>Pesquisa social: Teoria, método e criatividade</w:t>
      </w:r>
      <w:r>
        <w:t>. Petrópolis: Vozes.</w:t>
      </w:r>
    </w:p>
    <w:p w14:paraId="3DE4D8F4" w14:textId="77777777" w:rsidR="00C33A41" w:rsidRDefault="007B3952">
      <w:pPr>
        <w:spacing w:line="240" w:lineRule="auto"/>
        <w:ind w:left="709" w:hanging="709"/>
      </w:pPr>
      <w:proofErr w:type="spellStart"/>
      <w:r>
        <w:t>Minayo</w:t>
      </w:r>
      <w:proofErr w:type="spellEnd"/>
      <w:r>
        <w:t xml:space="preserve">, M. C. S. (2010). Técnicas de pesquisa: entrevista como técnica privilegiada de comunicação. In </w:t>
      </w:r>
      <w:proofErr w:type="spellStart"/>
      <w:r>
        <w:t>Minayo</w:t>
      </w:r>
      <w:proofErr w:type="spellEnd"/>
      <w:r>
        <w:t xml:space="preserve">, M. C. S. </w:t>
      </w:r>
      <w:r>
        <w:rPr>
          <w:i/>
        </w:rPr>
        <w:t>O desafio do conhecimento: pesquisa qualitativa em saúde</w:t>
      </w:r>
      <w:r>
        <w:t xml:space="preserve"> (pp. 261-297). São Paulo: Hucitec.</w:t>
      </w:r>
    </w:p>
    <w:p w14:paraId="0F63E063" w14:textId="77777777" w:rsidR="00C33A41" w:rsidRDefault="007B3952">
      <w:pPr>
        <w:spacing w:line="240" w:lineRule="auto"/>
        <w:ind w:left="709" w:hanging="709"/>
      </w:pPr>
      <w:proofErr w:type="spellStart"/>
      <w:r>
        <w:t>Mondini</w:t>
      </w:r>
      <w:proofErr w:type="spellEnd"/>
      <w:r>
        <w:t xml:space="preserve">, C. E. C. M. (2011). </w:t>
      </w:r>
      <w:r>
        <w:rPr>
          <w:i/>
        </w:rPr>
        <w:t>Resiliência e medidas socioeducativas: síntese dialética de múltiplas determinações</w:t>
      </w:r>
      <w:r>
        <w:t xml:space="preserve"> [Dissertação de Mestrado, Universidade Federal do Mato Grosso do Sul).  Repositório Institucional UFMS. Recuperado de: </w:t>
      </w:r>
      <w:hyperlink r:id="rId89">
        <w:r>
          <w:rPr>
            <w:color w:val="0563C1"/>
            <w:u w:val="single"/>
          </w:rPr>
          <w:t>https://ppgecpan.ufms.br/files/2013/08/CLAUDIAELIZABETEDACOSTAMORAESMONDINI.pdf</w:t>
        </w:r>
      </w:hyperlink>
      <w:r>
        <w:t>. Acesso em: 21 fev. 2022.</w:t>
      </w:r>
    </w:p>
    <w:p w14:paraId="05A3DDFB" w14:textId="77777777" w:rsidR="00C33A41" w:rsidRDefault="007B3952">
      <w:pPr>
        <w:spacing w:line="240" w:lineRule="auto"/>
        <w:ind w:left="709" w:hanging="709"/>
      </w:pPr>
      <w:r>
        <w:t xml:space="preserve">Morais, N. A. &amp; </w:t>
      </w:r>
      <w:proofErr w:type="spellStart"/>
      <w:r>
        <w:t>Koller</w:t>
      </w:r>
      <w:proofErr w:type="spellEnd"/>
      <w:r>
        <w:t xml:space="preserve">, S. H. (2004). Abordagem ecológica do desenvolvimento humano, psicologia positiva e resiliência: A ênfase na saúde. In S. H. </w:t>
      </w:r>
      <w:proofErr w:type="spellStart"/>
      <w:r>
        <w:t>Koller</w:t>
      </w:r>
      <w:proofErr w:type="spellEnd"/>
      <w:r>
        <w:t xml:space="preserve"> (Ed.), </w:t>
      </w:r>
      <w:r>
        <w:rPr>
          <w:i/>
        </w:rPr>
        <w:t>Ecologia do Desenvolvimento Humano: Pesquisa e intervenção no Brasil</w:t>
      </w:r>
      <w:r>
        <w:t xml:space="preserve"> (pp. 91-07). São Paulo: Casa do Psicólogo.</w:t>
      </w:r>
    </w:p>
    <w:p w14:paraId="7A879982" w14:textId="77777777" w:rsidR="00C33A41" w:rsidRDefault="007B3952">
      <w:pPr>
        <w:spacing w:line="240" w:lineRule="auto"/>
        <w:ind w:left="709" w:hanging="709"/>
      </w:pPr>
      <w:r>
        <w:t xml:space="preserve">Muller, F., Barboza, P. S., Oliveira, C. C., Santos, R. R. G. &amp; </w:t>
      </w:r>
      <w:proofErr w:type="spellStart"/>
      <w:r>
        <w:t>Paludo</w:t>
      </w:r>
      <w:proofErr w:type="spellEnd"/>
      <w:r>
        <w:t xml:space="preserve">, S. S. (2009). Perspectivas de adolescentes em conflito com a lei sobre o delito, a medida de internação e as expectativas futuras. </w:t>
      </w:r>
      <w:r>
        <w:rPr>
          <w:i/>
        </w:rPr>
        <w:t>Revista Brasileira Adolescência e Conflitualidade, 1</w:t>
      </w:r>
      <w:r>
        <w:t xml:space="preserve">(1), 70-87. Recuperado de: </w:t>
      </w:r>
      <w:hyperlink r:id="rId90">
        <w:r>
          <w:rPr>
            <w:color w:val="0563C1"/>
            <w:u w:val="single"/>
          </w:rPr>
          <w:t>https://repositorio.furg.br/bitstream/handle/1/1213/Perspectivas%20de%20adolescentes%20em%20conflito%20com%20a%20lei%20sobre%20o%20delito.pdf?sequence=1</w:t>
        </w:r>
      </w:hyperlink>
      <w:r>
        <w:t>. Acesso em: 25 ago. 2022.</w:t>
      </w:r>
    </w:p>
    <w:p w14:paraId="3F18FA53" w14:textId="77777777" w:rsidR="00C33A41" w:rsidRDefault="007B3952">
      <w:pPr>
        <w:spacing w:line="240" w:lineRule="auto"/>
        <w:ind w:left="709" w:hanging="709"/>
      </w:pPr>
      <w:r>
        <w:t xml:space="preserve">Nações Unidas Brasil [ONU]. (2020a). Relatora da ONU: Estados devem combater violência doméstica na quarentena por COVID-19. Recuperado de: </w:t>
      </w:r>
      <w:hyperlink r:id="rId91">
        <w:r>
          <w:rPr>
            <w:color w:val="0563C1"/>
            <w:u w:val="single"/>
          </w:rPr>
          <w:t>https://nacoesunidas.org/relatora-da-onu-estados-devem-combater-violencia-domestica-na-quarentena-por-covid-19/</w:t>
        </w:r>
      </w:hyperlink>
      <w:r>
        <w:t>. Acesso em: 27 mar. 2020.</w:t>
      </w:r>
    </w:p>
    <w:p w14:paraId="3C4823C9" w14:textId="77777777" w:rsidR="00C33A41" w:rsidRDefault="007B3952">
      <w:pPr>
        <w:spacing w:line="240" w:lineRule="auto"/>
        <w:ind w:left="709" w:hanging="709"/>
      </w:pPr>
      <w:r>
        <w:t xml:space="preserve">Nações Unidas Brasil [ONU]. (2020b). OMS: 'O impacto da pandemia na saúde mental das pessoas já é extremamente preocupante'. Recuperado de: </w:t>
      </w:r>
      <w:hyperlink r:id="rId92">
        <w:r>
          <w:rPr>
            <w:color w:val="0563C1"/>
            <w:u w:val="single"/>
          </w:rPr>
          <w:t>https://brasil.un.org/pt-br/85787-oms-o-impacto-da-pandemia-na-sa%C3%BAde-mental-das-pessoas-j%C3%A1-%C3%A9-extremamente-preocupante</w:t>
        </w:r>
      </w:hyperlink>
      <w:r>
        <w:t>. Acesso em: 15 abr. 2021.</w:t>
      </w:r>
    </w:p>
    <w:p w14:paraId="3691A37F" w14:textId="77777777" w:rsidR="00C33A41" w:rsidRDefault="007B3952">
      <w:pPr>
        <w:spacing w:line="240" w:lineRule="auto"/>
        <w:ind w:left="709" w:hanging="709"/>
      </w:pPr>
      <w:proofErr w:type="spellStart"/>
      <w:r>
        <w:t>Nardi</w:t>
      </w:r>
      <w:proofErr w:type="spellEnd"/>
      <w:r>
        <w:t xml:space="preserve">, F. L. &amp; </w:t>
      </w:r>
      <w:proofErr w:type="spellStart"/>
      <w:r>
        <w:t>Dell’Aglio</w:t>
      </w:r>
      <w:proofErr w:type="spellEnd"/>
      <w:r>
        <w:t xml:space="preserve">, D. D. (2014). Trajetória de adolescentes em conflito com a lei após cumprimento de medida socioeducativa em meio fechado. </w:t>
      </w:r>
      <w:r>
        <w:rPr>
          <w:i/>
        </w:rPr>
        <w:t>Psico, 45</w:t>
      </w:r>
      <w:r>
        <w:t xml:space="preserve">(4), 541-550. </w:t>
      </w:r>
      <w:hyperlink r:id="rId93">
        <w:r>
          <w:rPr>
            <w:color w:val="000000"/>
            <w:u w:val="single"/>
          </w:rPr>
          <w:t>http://dx.doi.org/10.15448/1980-8623.2014.4.12978</w:t>
        </w:r>
      </w:hyperlink>
    </w:p>
    <w:p w14:paraId="0C3A11F0" w14:textId="77777777" w:rsidR="00C33A41" w:rsidRDefault="007B3952">
      <w:pPr>
        <w:spacing w:line="240" w:lineRule="auto"/>
        <w:ind w:left="709" w:hanging="709"/>
      </w:pPr>
      <w:r>
        <w:t xml:space="preserve">Nogueira, M. T. D., &amp; Silveira, M. G. (2021). Promoção e prevenção da saúde mental de adolescentes na pandemia do covid-19: uma abordagem da terapia cognitivo-comportamental em grupo. </w:t>
      </w:r>
      <w:r>
        <w:rPr>
          <w:i/>
        </w:rPr>
        <w:t xml:space="preserve">Revista Eletrônica </w:t>
      </w:r>
      <w:proofErr w:type="spellStart"/>
      <w:r>
        <w:rPr>
          <w:i/>
        </w:rPr>
        <w:t>Humanitaris</w:t>
      </w:r>
      <w:proofErr w:type="spellEnd"/>
      <w:r>
        <w:rPr>
          <w:i/>
        </w:rPr>
        <w:t>, 3</w:t>
      </w:r>
      <w:r>
        <w:t xml:space="preserve">(03), 63-75. </w:t>
      </w:r>
      <w:r>
        <w:lastRenderedPageBreak/>
        <w:t>Disponível em:</w:t>
      </w:r>
      <w:hyperlink r:id="rId94">
        <w:r>
          <w:t xml:space="preserve"> http://www.icepsc.com.br/ojs/index.php/revistahumanitaris/article/view/473</w:t>
        </w:r>
      </w:hyperlink>
    </w:p>
    <w:p w14:paraId="2ACECCA7" w14:textId="77777777" w:rsidR="00C33A41" w:rsidRDefault="007B3952">
      <w:pPr>
        <w:spacing w:line="240" w:lineRule="auto"/>
        <w:ind w:left="709" w:hanging="709"/>
      </w:pPr>
      <w:r>
        <w:t>Oliveira, N. K. C. de (2018). O uso de medicamentos controlados feito por adolescentes em cumprimento de medida socioeducativa de internação: um efeito colateral da privação de liberdade</w:t>
      </w:r>
      <w:r>
        <w:rPr>
          <w:i/>
        </w:rPr>
        <w:t xml:space="preserve">? </w:t>
      </w:r>
      <w:proofErr w:type="spellStart"/>
      <w:r>
        <w:rPr>
          <w:i/>
        </w:rPr>
        <w:t>Pathos</w:t>
      </w:r>
      <w:proofErr w:type="spellEnd"/>
      <w:r>
        <w:rPr>
          <w:i/>
        </w:rPr>
        <w:t>: Revista brasileira de práticas públicas e psicopatologia, 07</w:t>
      </w:r>
      <w:r>
        <w:t xml:space="preserve">(04), 21-36. Recuperado de: </w:t>
      </w:r>
      <w:hyperlink r:id="rId95">
        <w:r>
          <w:rPr>
            <w:color w:val="0563C1"/>
            <w:u w:val="single"/>
          </w:rPr>
          <w:t>http://www.revistapathos.com.br/volumes/volume-07/03.pdf</w:t>
        </w:r>
      </w:hyperlink>
      <w:r>
        <w:t xml:space="preserve"> . Acesso em: 25 jun.2023.</w:t>
      </w:r>
    </w:p>
    <w:p w14:paraId="5A8DD970" w14:textId="77777777" w:rsidR="00C33A41" w:rsidRDefault="00C33A41">
      <w:pPr>
        <w:spacing w:line="240" w:lineRule="auto"/>
        <w:ind w:left="709" w:hanging="709"/>
      </w:pPr>
    </w:p>
    <w:p w14:paraId="0EDB956D" w14:textId="77777777" w:rsidR="00C33A41" w:rsidRDefault="007B3952">
      <w:pPr>
        <w:spacing w:line="240" w:lineRule="auto"/>
        <w:ind w:left="709" w:hanging="709"/>
      </w:pPr>
      <w:r>
        <w:t xml:space="preserve">Oliveira, W. A. de, Silva, J. L. da, Andrade, A. L. M., Micheli, D. de, Fernández, J. E. R., </w:t>
      </w:r>
      <w:proofErr w:type="spellStart"/>
      <w:r>
        <w:t>Dellazzana</w:t>
      </w:r>
      <w:proofErr w:type="spellEnd"/>
      <w:r>
        <w:t xml:space="preserve">-Zanon, L. L., Silva, M. A. I., &amp; Santos, M. A. dos. (2020). </w:t>
      </w:r>
      <w:proofErr w:type="spellStart"/>
      <w:r>
        <w:t>Adolescence</w:t>
      </w:r>
      <w:proofErr w:type="spellEnd"/>
      <w:r>
        <w:t xml:space="preserve"> in times </w:t>
      </w:r>
      <w:proofErr w:type="spellStart"/>
      <w:r>
        <w:t>of</w:t>
      </w:r>
      <w:proofErr w:type="spellEnd"/>
      <w:r>
        <w:t xml:space="preserve"> </w:t>
      </w:r>
      <w:proofErr w:type="spellStart"/>
      <w:r>
        <w:t>pandemic</w:t>
      </w:r>
      <w:proofErr w:type="spellEnd"/>
      <w:r>
        <w:t xml:space="preserve">: </w:t>
      </w:r>
      <w:proofErr w:type="spellStart"/>
      <w:r>
        <w:t>Integrating</w:t>
      </w:r>
      <w:proofErr w:type="spellEnd"/>
      <w:r>
        <w:t xml:space="preserve"> consensus </w:t>
      </w:r>
      <w:proofErr w:type="spellStart"/>
      <w:r>
        <w:t>into</w:t>
      </w:r>
      <w:proofErr w:type="spellEnd"/>
      <w:r>
        <w:t xml:space="preserve"> a </w:t>
      </w:r>
      <w:proofErr w:type="spellStart"/>
      <w:r>
        <w:t>concept</w:t>
      </w:r>
      <w:proofErr w:type="spellEnd"/>
      <w:r>
        <w:t xml:space="preserve"> map. </w:t>
      </w:r>
      <w:r>
        <w:rPr>
          <w:i/>
        </w:rPr>
        <w:t>Estudos de Psicologia (Natal)</w:t>
      </w:r>
      <w:r>
        <w:t xml:space="preserve">, </w:t>
      </w:r>
      <w:r>
        <w:rPr>
          <w:i/>
        </w:rPr>
        <w:t>25</w:t>
      </w:r>
      <w:r>
        <w:t xml:space="preserve">(2), 133-143. </w:t>
      </w:r>
      <w:hyperlink r:id="rId96">
        <w:r>
          <w:rPr>
            <w:color w:val="555555"/>
          </w:rPr>
          <w:t>https://dx.doi.org/10.22491/1678-4669.20200014</w:t>
        </w:r>
      </w:hyperlink>
    </w:p>
    <w:p w14:paraId="1900341E" w14:textId="77777777" w:rsidR="00C33A41" w:rsidRDefault="007B3952">
      <w:pPr>
        <w:spacing w:line="240" w:lineRule="auto"/>
        <w:ind w:left="709" w:hanging="709"/>
      </w:pPr>
      <w:proofErr w:type="spellStart"/>
      <w:r>
        <w:t>Organization</w:t>
      </w:r>
      <w:proofErr w:type="spellEnd"/>
      <w:r>
        <w:t xml:space="preserve"> for Economic </w:t>
      </w:r>
      <w:proofErr w:type="spellStart"/>
      <w:r>
        <w:t>Co-operation</w:t>
      </w:r>
      <w:proofErr w:type="spellEnd"/>
      <w:r>
        <w:t xml:space="preserve"> </w:t>
      </w:r>
      <w:proofErr w:type="spellStart"/>
      <w:r>
        <w:t>and</w:t>
      </w:r>
      <w:proofErr w:type="spellEnd"/>
      <w:r>
        <w:t xml:space="preserve"> </w:t>
      </w:r>
      <w:proofErr w:type="spellStart"/>
      <w:r>
        <w:t>Development</w:t>
      </w:r>
      <w:proofErr w:type="spellEnd"/>
      <w:r>
        <w:t xml:space="preserve"> [OECD]. (2020).</w:t>
      </w:r>
      <w:hyperlink r:id="rId97">
        <w:r>
          <w:t xml:space="preserve"> </w:t>
        </w:r>
      </w:hyperlink>
      <w:hyperlink r:id="rId98">
        <w:r>
          <w:rPr>
            <w:i/>
          </w:rPr>
          <w:t>OECD Policy Responses to Coronavirus (COVID-19)</w:t>
        </w:r>
      </w:hyperlink>
      <w:r>
        <w:rPr>
          <w:i/>
        </w:rPr>
        <w:t xml:space="preserve">: Youth </w:t>
      </w:r>
      <w:proofErr w:type="spellStart"/>
      <w:r>
        <w:rPr>
          <w:i/>
        </w:rPr>
        <w:t>and</w:t>
      </w:r>
      <w:proofErr w:type="spellEnd"/>
      <w:r>
        <w:rPr>
          <w:i/>
        </w:rPr>
        <w:t xml:space="preserve"> COVID-19: Response, </w:t>
      </w:r>
      <w:proofErr w:type="spellStart"/>
      <w:r>
        <w:rPr>
          <w:i/>
        </w:rPr>
        <w:t>recovery</w:t>
      </w:r>
      <w:proofErr w:type="spellEnd"/>
      <w:r>
        <w:rPr>
          <w:i/>
        </w:rPr>
        <w:t xml:space="preserve"> </w:t>
      </w:r>
      <w:proofErr w:type="spellStart"/>
      <w:r>
        <w:rPr>
          <w:i/>
        </w:rPr>
        <w:t>and</w:t>
      </w:r>
      <w:proofErr w:type="spellEnd"/>
      <w:r>
        <w:rPr>
          <w:i/>
        </w:rPr>
        <w:t xml:space="preserve"> </w:t>
      </w:r>
      <w:proofErr w:type="spellStart"/>
      <w:r>
        <w:rPr>
          <w:i/>
        </w:rPr>
        <w:t>resilience</w:t>
      </w:r>
      <w:proofErr w:type="spellEnd"/>
      <w:r>
        <w:t>. Recuperado de</w:t>
      </w:r>
      <w:hyperlink r:id="rId99">
        <w:r>
          <w:t xml:space="preserve"> https://www.oecd.org/coronavirus/policy-responses/youth-and-covid-19-response-recovery-and-resilience-c40e61c6/</w:t>
        </w:r>
      </w:hyperlink>
    </w:p>
    <w:p w14:paraId="37DC1B3F" w14:textId="77777777" w:rsidR="00C33A41" w:rsidRDefault="007B3952">
      <w:pPr>
        <w:spacing w:line="240" w:lineRule="auto"/>
        <w:ind w:left="709" w:hanging="709"/>
      </w:pPr>
      <w:r>
        <w:t>Organização Mundial da Saúde [OMS]. (2023).</w:t>
      </w:r>
      <w:hyperlink r:id="rId100">
        <w:r>
          <w:t xml:space="preserve"> </w:t>
        </w:r>
      </w:hyperlink>
      <w:hyperlink r:id="rId101">
        <w:r>
          <w:rPr>
            <w:i/>
          </w:rPr>
          <w:t>WHO Coronavirus (COVID-19) Dashboard</w:t>
        </w:r>
      </w:hyperlink>
      <w:r>
        <w:t>. Recuperado de</w:t>
      </w:r>
      <w:hyperlink r:id="rId102">
        <w:r>
          <w:t xml:space="preserve"> https://covid19.who.int/</w:t>
        </w:r>
      </w:hyperlink>
    </w:p>
    <w:p w14:paraId="120E0A25" w14:textId="77777777" w:rsidR="00C33A41" w:rsidRDefault="007B3952">
      <w:pPr>
        <w:spacing w:line="240" w:lineRule="auto"/>
        <w:ind w:left="709" w:hanging="709"/>
      </w:pPr>
      <w:r>
        <w:t xml:space="preserve">Organização Pan-Americana da Saúde [OPAS]. (2021). </w:t>
      </w:r>
      <w:r>
        <w:rPr>
          <w:i/>
        </w:rPr>
        <w:t>Crianças e adolescentes estão sendo profundamente impactados pela pandemia de COVID-19, afirma diretora da OPAS</w:t>
      </w:r>
      <w:r>
        <w:t xml:space="preserve">. Recuperado de: </w:t>
      </w:r>
      <w:hyperlink r:id="rId103">
        <w:r>
          <w:rPr>
            <w:color w:val="1155CC"/>
            <w:u w:val="single"/>
          </w:rPr>
          <w:t>https://www.paho.org/pt/noticias/15-9-2021-criancas-e-adolescentes-estao-sendo-profundamente-impactados-pela-pandemia-covid</w:t>
        </w:r>
      </w:hyperlink>
    </w:p>
    <w:p w14:paraId="3FA7E124" w14:textId="77777777" w:rsidR="00C33A41" w:rsidRDefault="007B3952">
      <w:pPr>
        <w:spacing w:line="240" w:lineRule="auto"/>
        <w:ind w:left="709" w:hanging="709"/>
      </w:pPr>
      <w:r>
        <w:rPr>
          <w:color w:val="111111"/>
        </w:rPr>
        <w:t xml:space="preserve">Paixão, R. da S., Santos, G. R. da S., Siqueira, M. A. dos S., Barros, G. dos S., Santos, C. D. dos. (2020). Covid-19: a relação entre a pandemia e as vulnerabilidades sociais no Rio de Janeiro. </w:t>
      </w:r>
      <w:r>
        <w:rPr>
          <w:i/>
          <w:color w:val="111111"/>
        </w:rPr>
        <w:t>Almanaque Multidisciplinar de Pesquisa (Dossiê Covid-19), 7</w:t>
      </w:r>
      <w:r>
        <w:rPr>
          <w:color w:val="111111"/>
        </w:rPr>
        <w:t xml:space="preserve">(2), pp. 82-105. </w:t>
      </w:r>
      <w:hyperlink r:id="rId104">
        <w:r>
          <w:rPr>
            <w:color w:val="1155CC"/>
            <w:u w:val="single"/>
          </w:rPr>
          <w:t>http://publicacoes.unigranrio.edu.br/index.php/amp/article/view/6631/3372</w:t>
        </w:r>
      </w:hyperlink>
      <w:r>
        <w:rPr>
          <w:color w:val="1155CC"/>
          <w:u w:val="single"/>
        </w:rPr>
        <w:t xml:space="preserve">. </w:t>
      </w:r>
      <w:r>
        <w:t>Acesso em: 25 jan.2021</w:t>
      </w:r>
    </w:p>
    <w:p w14:paraId="267508A8" w14:textId="77777777" w:rsidR="00C33A41" w:rsidRDefault="007B3952">
      <w:pPr>
        <w:spacing w:line="240" w:lineRule="auto"/>
        <w:ind w:left="709" w:hanging="709"/>
        <w:rPr>
          <w:color w:val="111111"/>
        </w:rPr>
      </w:pPr>
      <w:proofErr w:type="spellStart"/>
      <w:r>
        <w:rPr>
          <w:color w:val="111111"/>
        </w:rPr>
        <w:t>Paludo</w:t>
      </w:r>
      <w:proofErr w:type="spellEnd"/>
      <w:r>
        <w:rPr>
          <w:color w:val="111111"/>
        </w:rPr>
        <w:t xml:space="preserve">, S. dos S., Nascimento, D. B. do, Lordello, S. R. M., &amp; Rosa, E. M. (2020). Home </w:t>
      </w:r>
      <w:proofErr w:type="spellStart"/>
      <w:r>
        <w:rPr>
          <w:color w:val="111111"/>
        </w:rPr>
        <w:t>is</w:t>
      </w:r>
      <w:proofErr w:type="spellEnd"/>
      <w:r>
        <w:rPr>
          <w:color w:val="111111"/>
        </w:rPr>
        <w:t xml:space="preserve"> </w:t>
      </w:r>
      <w:proofErr w:type="spellStart"/>
      <w:r>
        <w:rPr>
          <w:color w:val="111111"/>
        </w:rPr>
        <w:t>not</w:t>
      </w:r>
      <w:proofErr w:type="spellEnd"/>
      <w:r>
        <w:rPr>
          <w:color w:val="111111"/>
        </w:rPr>
        <w:t xml:space="preserve"> </w:t>
      </w:r>
      <w:proofErr w:type="spellStart"/>
      <w:r>
        <w:rPr>
          <w:color w:val="111111"/>
        </w:rPr>
        <w:t>always</w:t>
      </w:r>
      <w:proofErr w:type="spellEnd"/>
      <w:r>
        <w:rPr>
          <w:color w:val="111111"/>
        </w:rPr>
        <w:t xml:space="preserve"> a safe </w:t>
      </w:r>
      <w:proofErr w:type="spellStart"/>
      <w:r>
        <w:rPr>
          <w:color w:val="111111"/>
        </w:rPr>
        <w:t>place</w:t>
      </w:r>
      <w:proofErr w:type="spellEnd"/>
      <w:r>
        <w:rPr>
          <w:color w:val="111111"/>
        </w:rPr>
        <w:t xml:space="preserve">: A </w:t>
      </w:r>
      <w:proofErr w:type="spellStart"/>
      <w:r>
        <w:rPr>
          <w:color w:val="111111"/>
        </w:rPr>
        <w:t>bioecological</w:t>
      </w:r>
      <w:proofErr w:type="spellEnd"/>
      <w:r>
        <w:rPr>
          <w:color w:val="111111"/>
        </w:rPr>
        <w:t xml:space="preserve"> approach for the </w:t>
      </w:r>
      <w:proofErr w:type="spellStart"/>
      <w:r>
        <w:rPr>
          <w:color w:val="111111"/>
        </w:rPr>
        <w:t>violence</w:t>
      </w:r>
      <w:proofErr w:type="spellEnd"/>
      <w:r>
        <w:rPr>
          <w:color w:val="111111"/>
        </w:rPr>
        <w:t xml:space="preserve"> in </w:t>
      </w:r>
      <w:proofErr w:type="spellStart"/>
      <w:r>
        <w:rPr>
          <w:color w:val="111111"/>
        </w:rPr>
        <w:t>pandemic</w:t>
      </w:r>
      <w:proofErr w:type="spellEnd"/>
      <w:r>
        <w:rPr>
          <w:color w:val="111111"/>
        </w:rPr>
        <w:t xml:space="preserve"> time. </w:t>
      </w:r>
      <w:r>
        <w:rPr>
          <w:i/>
          <w:color w:val="111111"/>
        </w:rPr>
        <w:t>Estudos de Psicologia (Natal)</w:t>
      </w:r>
      <w:r>
        <w:rPr>
          <w:color w:val="111111"/>
        </w:rPr>
        <w:t xml:space="preserve">, </w:t>
      </w:r>
      <w:r>
        <w:rPr>
          <w:i/>
          <w:color w:val="111111"/>
        </w:rPr>
        <w:t>25</w:t>
      </w:r>
      <w:r>
        <w:rPr>
          <w:color w:val="111111"/>
        </w:rPr>
        <w:t xml:space="preserve">(2), 222-231. </w:t>
      </w:r>
      <w:hyperlink r:id="rId105">
        <w:r>
          <w:rPr>
            <w:color w:val="555555"/>
          </w:rPr>
          <w:t>https://dx.doi.org/10.22491/1678-4669.20200022</w:t>
        </w:r>
      </w:hyperlink>
      <w:r>
        <w:rPr>
          <w:color w:val="111111"/>
        </w:rPr>
        <w:t xml:space="preserve"> . Acesso em 16 jan. 2023.</w:t>
      </w:r>
    </w:p>
    <w:p w14:paraId="72D9E20E" w14:textId="77777777" w:rsidR="00C33A41" w:rsidRDefault="007B3952">
      <w:pPr>
        <w:spacing w:line="240" w:lineRule="auto"/>
        <w:ind w:left="709" w:hanging="709"/>
        <w:rPr>
          <w:color w:val="111111"/>
        </w:rPr>
      </w:pPr>
      <w:r>
        <w:t xml:space="preserve">Pereira, V. L. (2022). </w:t>
      </w:r>
      <w:r>
        <w:rPr>
          <w:i/>
        </w:rPr>
        <w:t>Análise dos adolescentes e jovens que morreram durante o cumprimento da medida socioeducativa em meio aberto nos últimos cinco anos em Natal</w:t>
      </w:r>
      <w:r>
        <w:t xml:space="preserve"> [Trabalho de conclusão de curso, Universidade de Brasília], Biblioteca Digital da Produção Intelectual Discente da UnB. Recuperado de: </w:t>
      </w:r>
      <w:hyperlink r:id="rId106">
        <w:r>
          <w:rPr>
            <w:color w:val="0563C1"/>
            <w:u w:val="single"/>
          </w:rPr>
          <w:t>https://bdm.unb.br/handle/10483/31973</w:t>
        </w:r>
      </w:hyperlink>
      <w:r>
        <w:t xml:space="preserve">. Acesso em: 26 ago. 2022. </w:t>
      </w:r>
    </w:p>
    <w:p w14:paraId="2BC228CD" w14:textId="77777777" w:rsidR="00C33A41" w:rsidRDefault="007B3952">
      <w:pPr>
        <w:spacing w:line="240" w:lineRule="auto"/>
        <w:ind w:left="709" w:hanging="709"/>
        <w:rPr>
          <w:color w:val="111111"/>
        </w:rPr>
      </w:pPr>
      <w:r>
        <w:rPr>
          <w:color w:val="111111"/>
        </w:rPr>
        <w:t xml:space="preserve">Pessoa, A. S. G. (2015). </w:t>
      </w:r>
      <w:r>
        <w:rPr>
          <w:i/>
          <w:color w:val="111111"/>
        </w:rPr>
        <w:t>Trajetórias negligenciadas: processos de resiliência em adolescentes com histórico de envolvimento no tráfico de drogas</w:t>
      </w:r>
      <w:r>
        <w:rPr>
          <w:color w:val="111111"/>
        </w:rPr>
        <w:t xml:space="preserve"> [Tese de Doutorado, </w:t>
      </w:r>
      <w:r>
        <w:rPr>
          <w:color w:val="333333"/>
          <w:highlight w:val="white"/>
        </w:rPr>
        <w:t xml:space="preserve">Universidade Estadual Paulista Júlio de Mesquita Filho]. Repositório Institucional UNESP. Recuperado de: </w:t>
      </w:r>
      <w:hyperlink r:id="rId107">
        <w:r>
          <w:rPr>
            <w:color w:val="0563C1"/>
            <w:highlight w:val="white"/>
            <w:u w:val="single"/>
          </w:rPr>
          <w:t>http://hdl.handle.net/11449/135963</w:t>
        </w:r>
      </w:hyperlink>
      <w:r>
        <w:rPr>
          <w:color w:val="333333"/>
          <w:highlight w:val="white"/>
        </w:rPr>
        <w:t>. Acesso em: 23 fev. 2022.</w:t>
      </w:r>
    </w:p>
    <w:p w14:paraId="52A401BC" w14:textId="77777777" w:rsidR="00C33A41" w:rsidRDefault="007B3952">
      <w:pPr>
        <w:spacing w:line="240" w:lineRule="auto"/>
        <w:ind w:left="709" w:hanging="709"/>
        <w:rPr>
          <w:color w:val="111111"/>
        </w:rPr>
      </w:pPr>
      <w:r>
        <w:rPr>
          <w:color w:val="111111"/>
        </w:rPr>
        <w:t>Pessoa, A. S. G., &amp; Coimbra, R. M. (2016). O “traficante” não vai à escola: processos de escolarização de adolescentes com envolvimento no tráfico de drogas. </w:t>
      </w:r>
      <w:r>
        <w:rPr>
          <w:i/>
          <w:color w:val="111111"/>
        </w:rPr>
        <w:t>Revista Educação Em Questão, 54</w:t>
      </w:r>
      <w:r>
        <w:rPr>
          <w:color w:val="111111"/>
        </w:rPr>
        <w:t xml:space="preserve">(42), 190–217. </w:t>
      </w:r>
      <w:hyperlink r:id="rId108">
        <w:r>
          <w:rPr>
            <w:color w:val="0563C1"/>
            <w:u w:val="single"/>
          </w:rPr>
          <w:t>https://doi.org/10.21680/1981-1802.2016v54n42ID10958</w:t>
        </w:r>
      </w:hyperlink>
      <w:r>
        <w:rPr>
          <w:color w:val="111111"/>
        </w:rPr>
        <w:t xml:space="preserve"> </w:t>
      </w:r>
    </w:p>
    <w:p w14:paraId="78E36B26" w14:textId="77777777" w:rsidR="00C33A41" w:rsidRDefault="007B3952">
      <w:pPr>
        <w:spacing w:line="240" w:lineRule="auto"/>
        <w:ind w:left="709" w:hanging="709"/>
        <w:rPr>
          <w:color w:val="111111"/>
        </w:rPr>
      </w:pPr>
      <w:r>
        <w:rPr>
          <w:color w:val="111111"/>
        </w:rPr>
        <w:lastRenderedPageBreak/>
        <w:t xml:space="preserve">Pessoa, A. S. G., Coimbra, R. M., </w:t>
      </w:r>
      <w:proofErr w:type="spellStart"/>
      <w:r>
        <w:rPr>
          <w:color w:val="111111"/>
        </w:rPr>
        <w:t>Koller</w:t>
      </w:r>
      <w:proofErr w:type="spellEnd"/>
      <w:r>
        <w:rPr>
          <w:color w:val="111111"/>
        </w:rPr>
        <w:t xml:space="preserve">, S. H., &amp; </w:t>
      </w:r>
      <w:proofErr w:type="spellStart"/>
      <w:r>
        <w:rPr>
          <w:color w:val="111111"/>
        </w:rPr>
        <w:t>Ungar</w:t>
      </w:r>
      <w:proofErr w:type="spellEnd"/>
      <w:r>
        <w:rPr>
          <w:color w:val="111111"/>
        </w:rPr>
        <w:t xml:space="preserve">, </w:t>
      </w:r>
      <w:proofErr w:type="gramStart"/>
      <w:r>
        <w:rPr>
          <w:color w:val="111111"/>
        </w:rPr>
        <w:t>M..</w:t>
      </w:r>
      <w:proofErr w:type="gramEnd"/>
      <w:r>
        <w:rPr>
          <w:color w:val="111111"/>
        </w:rPr>
        <w:t xml:space="preserve"> (2018). </w:t>
      </w:r>
      <w:proofErr w:type="spellStart"/>
      <w:r>
        <w:rPr>
          <w:color w:val="111111"/>
        </w:rPr>
        <w:t>Hidden</w:t>
      </w:r>
      <w:proofErr w:type="spellEnd"/>
      <w:r>
        <w:rPr>
          <w:color w:val="111111"/>
        </w:rPr>
        <w:t xml:space="preserve"> </w:t>
      </w:r>
      <w:proofErr w:type="spellStart"/>
      <w:r>
        <w:rPr>
          <w:color w:val="111111"/>
        </w:rPr>
        <w:t>Resilience</w:t>
      </w:r>
      <w:proofErr w:type="spellEnd"/>
      <w:r>
        <w:rPr>
          <w:color w:val="111111"/>
        </w:rPr>
        <w:t xml:space="preserve"> in the Life </w:t>
      </w:r>
      <w:proofErr w:type="spellStart"/>
      <w:r>
        <w:rPr>
          <w:color w:val="111111"/>
        </w:rPr>
        <w:t>of</w:t>
      </w:r>
      <w:proofErr w:type="spellEnd"/>
      <w:r>
        <w:rPr>
          <w:color w:val="111111"/>
        </w:rPr>
        <w:t xml:space="preserve"> </w:t>
      </w:r>
      <w:proofErr w:type="spellStart"/>
      <w:r>
        <w:rPr>
          <w:color w:val="111111"/>
        </w:rPr>
        <w:t>Adolescents</w:t>
      </w:r>
      <w:proofErr w:type="spellEnd"/>
      <w:r>
        <w:rPr>
          <w:color w:val="111111"/>
        </w:rPr>
        <w:t xml:space="preserve"> </w:t>
      </w:r>
      <w:proofErr w:type="spellStart"/>
      <w:r>
        <w:rPr>
          <w:color w:val="111111"/>
        </w:rPr>
        <w:t>with</w:t>
      </w:r>
      <w:proofErr w:type="spellEnd"/>
      <w:r>
        <w:rPr>
          <w:color w:val="111111"/>
        </w:rPr>
        <w:t xml:space="preserve"> </w:t>
      </w:r>
      <w:proofErr w:type="spellStart"/>
      <w:r>
        <w:rPr>
          <w:color w:val="111111"/>
        </w:rPr>
        <w:t>Involvement</w:t>
      </w:r>
      <w:proofErr w:type="spellEnd"/>
      <w:r>
        <w:rPr>
          <w:color w:val="111111"/>
        </w:rPr>
        <w:t xml:space="preserve"> in </w:t>
      </w:r>
      <w:proofErr w:type="spellStart"/>
      <w:r>
        <w:rPr>
          <w:color w:val="111111"/>
        </w:rPr>
        <w:t>Drug</w:t>
      </w:r>
      <w:proofErr w:type="spellEnd"/>
      <w:r>
        <w:rPr>
          <w:color w:val="111111"/>
        </w:rPr>
        <w:t xml:space="preserve"> </w:t>
      </w:r>
      <w:proofErr w:type="spellStart"/>
      <w:r>
        <w:rPr>
          <w:color w:val="111111"/>
        </w:rPr>
        <w:t>Trafficking</w:t>
      </w:r>
      <w:proofErr w:type="spellEnd"/>
      <w:r>
        <w:rPr>
          <w:color w:val="111111"/>
        </w:rPr>
        <w:t xml:space="preserve">. </w:t>
      </w:r>
      <w:r>
        <w:rPr>
          <w:i/>
          <w:color w:val="111111"/>
        </w:rPr>
        <w:t>Psicologia: Teoria E Pesquisa, 34</w:t>
      </w:r>
      <w:r>
        <w:rPr>
          <w:color w:val="111111"/>
        </w:rPr>
        <w:t xml:space="preserve">, e34426. </w:t>
      </w:r>
      <w:hyperlink r:id="rId109">
        <w:r>
          <w:rPr>
            <w:color w:val="0563C1"/>
            <w:u w:val="single"/>
          </w:rPr>
          <w:t>https://doi.org/10.1590/0102.3772e34426</w:t>
        </w:r>
      </w:hyperlink>
      <w:r>
        <w:rPr>
          <w:color w:val="111111"/>
        </w:rPr>
        <w:t xml:space="preserve"> </w:t>
      </w:r>
    </w:p>
    <w:p w14:paraId="4792998C" w14:textId="77777777" w:rsidR="00C33A41" w:rsidRDefault="007B3952">
      <w:pPr>
        <w:spacing w:line="240" w:lineRule="auto"/>
        <w:ind w:left="709" w:hanging="709"/>
        <w:rPr>
          <w:color w:val="111111"/>
        </w:rPr>
      </w:pPr>
      <w:r>
        <w:rPr>
          <w:color w:val="111111"/>
        </w:rPr>
        <w:t>Pessoa, A. S. G., &amp; Coimbra, R. M. (2020). Fatores de Risco no Contexto de Adolescentes Envolvidos no Tráfico de Drogas. </w:t>
      </w:r>
      <w:r>
        <w:rPr>
          <w:i/>
          <w:color w:val="111111"/>
        </w:rPr>
        <w:t>Estudos e Pesquisas em Psicologia, 20</w:t>
      </w:r>
      <w:r>
        <w:rPr>
          <w:color w:val="111111"/>
        </w:rPr>
        <w:t>(1), 119-141. </w:t>
      </w:r>
      <w:hyperlink r:id="rId110">
        <w:r>
          <w:rPr>
            <w:color w:val="111111"/>
          </w:rPr>
          <w:t>https://dx.doi.org/10.12957/epp.2020.50793</w:t>
        </w:r>
      </w:hyperlink>
      <w:r>
        <w:rPr>
          <w:color w:val="111111"/>
        </w:rPr>
        <w:t xml:space="preserve"> </w:t>
      </w:r>
    </w:p>
    <w:p w14:paraId="5E197CBB" w14:textId="77777777" w:rsidR="00C33A41" w:rsidRDefault="007B3952">
      <w:pPr>
        <w:spacing w:line="240" w:lineRule="auto"/>
        <w:ind w:left="709" w:hanging="709"/>
      </w:pPr>
      <w:r>
        <w:t xml:space="preserve">Petrucci, G. W., </w:t>
      </w:r>
      <w:proofErr w:type="spellStart"/>
      <w:r>
        <w:t>Borsa</w:t>
      </w:r>
      <w:proofErr w:type="spellEnd"/>
      <w:r>
        <w:t xml:space="preserve">, J. C., &amp; </w:t>
      </w:r>
      <w:proofErr w:type="spellStart"/>
      <w:r>
        <w:t>Koller</w:t>
      </w:r>
      <w:proofErr w:type="spellEnd"/>
      <w:r>
        <w:t xml:space="preserve">, S. H. (2016).  A Família   e a escola no desenvolvimento socioemocional na infância. </w:t>
      </w:r>
      <w:r>
        <w:rPr>
          <w:i/>
        </w:rPr>
        <w:t>Temas em Psicologia,24</w:t>
      </w:r>
      <w:r>
        <w:t>(2), 391 402.doi:https://dx.doi.org/10.9788/TP2016.2-01Pt</w:t>
      </w:r>
    </w:p>
    <w:p w14:paraId="12D2E8DA" w14:textId="77777777" w:rsidR="00C33A41" w:rsidRDefault="007B3952">
      <w:pPr>
        <w:spacing w:line="240" w:lineRule="auto"/>
        <w:ind w:left="709" w:hanging="709"/>
      </w:pPr>
      <w:r>
        <w:t xml:space="preserve">Pinto, M. B., &amp; Cerqueira, A. S. (2020). Reflexões sobre a pandemia da COVID-19 e o capitalismo. </w:t>
      </w:r>
      <w:r>
        <w:rPr>
          <w:i/>
        </w:rPr>
        <w:t>Revista Libertas, 20</w:t>
      </w:r>
      <w:r>
        <w:t>(1), p. 38-52. DOI 10.34019/1980-</w:t>
      </w:r>
      <w:proofErr w:type="gramStart"/>
      <w:r>
        <w:t>8518.2020.v</w:t>
      </w:r>
      <w:proofErr w:type="gramEnd"/>
      <w:r>
        <w:t>20.30485</w:t>
      </w:r>
    </w:p>
    <w:p w14:paraId="403BC1A5" w14:textId="77777777" w:rsidR="00C33A41" w:rsidRDefault="007B3952">
      <w:pPr>
        <w:spacing w:line="240" w:lineRule="auto"/>
        <w:ind w:left="709" w:hanging="709"/>
      </w:pPr>
      <w:proofErr w:type="spellStart"/>
      <w:r>
        <w:t>Poletto</w:t>
      </w:r>
      <w:proofErr w:type="spellEnd"/>
      <w:r>
        <w:t xml:space="preserve">. M., &amp; </w:t>
      </w:r>
      <w:proofErr w:type="spellStart"/>
      <w:r>
        <w:t>Koller</w:t>
      </w:r>
      <w:proofErr w:type="spellEnd"/>
      <w:r>
        <w:t xml:space="preserve">, S. H. (2008). Contextos ecológicos: promotores de resiliência, fatores de risco e de proteção. </w:t>
      </w:r>
      <w:r>
        <w:rPr>
          <w:i/>
        </w:rPr>
        <w:t>Estudos de Psicologia, 25</w:t>
      </w:r>
      <w:r>
        <w:t>(3), 405-416.</w:t>
      </w:r>
    </w:p>
    <w:p w14:paraId="4F80B799" w14:textId="77777777" w:rsidR="00C33A41" w:rsidRDefault="007B3952">
      <w:pPr>
        <w:spacing w:line="240" w:lineRule="auto"/>
        <w:ind w:left="709" w:hanging="709"/>
      </w:pPr>
      <w:r>
        <w:t xml:space="preserve">Recomendação Conjunta nº 1, de 9 de setembro de 2020. (2020, 9 de setembro). Dispõe sobre cuidados à comunidade </w:t>
      </w:r>
      <w:proofErr w:type="spellStart"/>
      <w:r>
        <w:t>socioeducava</w:t>
      </w:r>
      <w:proofErr w:type="spellEnd"/>
      <w:r>
        <w:t xml:space="preserve">, nos programas de atendimento do Sistema Nacional de Atendimento </w:t>
      </w:r>
      <w:proofErr w:type="spellStart"/>
      <w:r>
        <w:t>Socioeducavo</w:t>
      </w:r>
      <w:proofErr w:type="spellEnd"/>
      <w:r>
        <w:t xml:space="preserve"> (SINASE), no contexto de transmissão comunitária do novo Coronavírus (COVID-19), em todo o território nacional e dá outras providências. Ministério Da Mulher, Da Família E Dos Direitos Humanos. </w:t>
      </w:r>
      <w:hyperlink r:id="rId111">
        <w:r>
          <w:rPr>
            <w:color w:val="0563C1"/>
            <w:u w:val="single"/>
          </w:rPr>
          <w:t>https://atos.cnj.jus.br/files/original235014202010165f8a31b6a561d.pdf</w:t>
        </w:r>
      </w:hyperlink>
      <w:r>
        <w:t>. Acesso em: 15 jun. 2022</w:t>
      </w:r>
    </w:p>
    <w:p w14:paraId="18104E90" w14:textId="77777777" w:rsidR="00C33A41" w:rsidRDefault="007B3952">
      <w:pPr>
        <w:spacing w:line="240" w:lineRule="auto"/>
        <w:ind w:left="709" w:hanging="709"/>
      </w:pPr>
      <w:r>
        <w:t xml:space="preserve">Recomendação nº 78, de 15 de setembro de 2020. (2020, 15 de setembro). Acrescenta o art. 5-A à Recomendação CNJ nº 62/2020, que trata das medidas preventivas à propagação da infecção pelo novo Coronavírus – Covid-19 no âmbito dos sistemas de justiça penal e socioeducativo, e altera o art. 15, para prorrogar sua vigência. Conselho Nacional de Justiça. </w:t>
      </w:r>
      <w:hyperlink r:id="rId112">
        <w:r>
          <w:rPr>
            <w:color w:val="0563C1"/>
            <w:u w:val="single"/>
          </w:rPr>
          <w:t>https://atos.cnj.jus.br/files/original170753202009255f6e23e9a58d4.pdf</w:t>
        </w:r>
      </w:hyperlink>
      <w:r>
        <w:t>. Acesso em: 16 set. 2022.</w:t>
      </w:r>
    </w:p>
    <w:p w14:paraId="44A2A5F5" w14:textId="77777777" w:rsidR="00C33A41" w:rsidRDefault="007B3952">
      <w:pPr>
        <w:spacing w:line="240" w:lineRule="auto"/>
        <w:ind w:left="709" w:hanging="709"/>
      </w:pPr>
      <w:r>
        <w:t xml:space="preserve">Rego, S., Palácios, M., Brito, L. &amp; Santos, R. L. dos. (2021). In Matta, G.C., Rego, S., Souto, E.P., &amp; Segata, J., (eds.) </w:t>
      </w:r>
      <w:r>
        <w:rPr>
          <w:i/>
        </w:rPr>
        <w:t>Os impactos sociais da Covid-19 no Brasil: populações vulnerabilizadas e respostas à pandemia</w:t>
      </w:r>
      <w:r>
        <w:t xml:space="preserve"> [online] (pp.27-39). Rio de Janeiro: Observatório Covid 19; Editora FIOCRUZ, p. 221. </w:t>
      </w:r>
      <w:hyperlink r:id="rId113">
        <w:r>
          <w:t>https://doi.org/10.7476/9786557080320</w:t>
        </w:r>
      </w:hyperlink>
      <w:r>
        <w:t xml:space="preserve">. </w:t>
      </w:r>
    </w:p>
    <w:p w14:paraId="2EC571F6" w14:textId="77777777" w:rsidR="00C33A41" w:rsidRDefault="007B3952">
      <w:pPr>
        <w:spacing w:line="240" w:lineRule="auto"/>
        <w:ind w:left="709" w:hanging="709"/>
      </w:pPr>
      <w:r>
        <w:t xml:space="preserve">Rodrigues, J., Garcia, V., &amp; Tristão, T. (2021). Covid-19, Estatuto da Criança e do Adolescente e o papel de educadoras e educadores sociais no Brasil: sobre o sobreviver e o cuidado mútuo Covid-19, </w:t>
      </w:r>
      <w:proofErr w:type="spellStart"/>
      <w:r>
        <w:t>Children</w:t>
      </w:r>
      <w:proofErr w:type="spellEnd"/>
      <w:r>
        <w:t xml:space="preserve"> </w:t>
      </w:r>
      <w:proofErr w:type="spellStart"/>
      <w:r>
        <w:t>and</w:t>
      </w:r>
      <w:proofErr w:type="spellEnd"/>
      <w:r>
        <w:t xml:space="preserve"> </w:t>
      </w:r>
      <w:proofErr w:type="spellStart"/>
      <w:r>
        <w:t>Adolescents</w:t>
      </w:r>
      <w:proofErr w:type="spellEnd"/>
      <w:r>
        <w:t xml:space="preserve"> </w:t>
      </w:r>
      <w:proofErr w:type="spellStart"/>
      <w:r>
        <w:t>Statute</w:t>
      </w:r>
      <w:proofErr w:type="spellEnd"/>
      <w:r>
        <w:t xml:space="preserve"> </w:t>
      </w:r>
      <w:proofErr w:type="spellStart"/>
      <w:r>
        <w:t>and</w:t>
      </w:r>
      <w:proofErr w:type="spellEnd"/>
      <w:r>
        <w:t xml:space="preserve"> the role </w:t>
      </w:r>
      <w:proofErr w:type="spellStart"/>
      <w:r>
        <w:t>of</w:t>
      </w:r>
      <w:proofErr w:type="spellEnd"/>
      <w:r>
        <w:t xml:space="preserve"> social </w:t>
      </w:r>
      <w:proofErr w:type="spellStart"/>
      <w:r>
        <w:t>educators</w:t>
      </w:r>
      <w:proofErr w:type="spellEnd"/>
      <w:r>
        <w:t xml:space="preserve"> in </w:t>
      </w:r>
      <w:proofErr w:type="spellStart"/>
      <w:r>
        <w:t>Brazil</w:t>
      </w:r>
      <w:proofErr w:type="spellEnd"/>
      <w:r>
        <w:t xml:space="preserve">: </w:t>
      </w:r>
      <w:proofErr w:type="spellStart"/>
      <w:r>
        <w:t>on</w:t>
      </w:r>
      <w:proofErr w:type="spellEnd"/>
      <w:r>
        <w:t xml:space="preserve"> </w:t>
      </w:r>
      <w:proofErr w:type="spellStart"/>
      <w:r>
        <w:t>surviving</w:t>
      </w:r>
      <w:proofErr w:type="spellEnd"/>
      <w:r>
        <w:t xml:space="preserve"> </w:t>
      </w:r>
      <w:proofErr w:type="spellStart"/>
      <w:r>
        <w:t>and</w:t>
      </w:r>
      <w:proofErr w:type="spellEnd"/>
      <w:r>
        <w:t xml:space="preserve"> mutual. </w:t>
      </w:r>
      <w:r>
        <w:rPr>
          <w:i/>
        </w:rPr>
        <w:t>Saber &amp; Educar, 0</w:t>
      </w:r>
      <w:r>
        <w:t>(29).</w:t>
      </w:r>
      <w:hyperlink r:id="rId114">
        <w:r>
          <w:t xml:space="preserve"> http://dx.doi.org/10.17346/se.vol29.400</w:t>
        </w:r>
      </w:hyperlink>
      <w:r>
        <w:t xml:space="preserve"> </w:t>
      </w:r>
    </w:p>
    <w:p w14:paraId="67B1A88E" w14:textId="77777777" w:rsidR="00C33A41" w:rsidRDefault="007B3952">
      <w:pPr>
        <w:spacing w:line="240" w:lineRule="auto"/>
        <w:ind w:left="709" w:hanging="709"/>
      </w:pPr>
      <w:proofErr w:type="spellStart"/>
      <w:r>
        <w:t>Rogoff</w:t>
      </w:r>
      <w:proofErr w:type="spellEnd"/>
      <w:r>
        <w:t xml:space="preserve">, B. (2005). </w:t>
      </w:r>
      <w:r>
        <w:rPr>
          <w:i/>
        </w:rPr>
        <w:t>A natureza cultural do desenvolvimento humano</w:t>
      </w:r>
      <w:r>
        <w:t>. Tradução de Roberto Cataldo Costa. Porto Alegre: Artmed.</w:t>
      </w:r>
    </w:p>
    <w:p w14:paraId="259C46A6" w14:textId="77777777" w:rsidR="00C33A41" w:rsidRDefault="007B3952">
      <w:pPr>
        <w:spacing w:line="240" w:lineRule="auto"/>
        <w:ind w:left="709" w:hanging="709"/>
      </w:pPr>
      <w:r>
        <w:t>Santos, F. M. T, &amp; Greca, I. M. (2013). Metodologias de pesquisa no ensino de ciências na América Latina: como pesquisamos na década de 2000</w:t>
      </w:r>
      <w:r>
        <w:rPr>
          <w:i/>
        </w:rPr>
        <w:t>. Ciênc. educ. (Bauru), 19</w:t>
      </w:r>
      <w:r>
        <w:t xml:space="preserve">(1), p. 15-33. DOI: </w:t>
      </w:r>
      <w:hyperlink r:id="rId115">
        <w:r>
          <w:rPr>
            <w:color w:val="0563C1"/>
            <w:u w:val="single"/>
          </w:rPr>
          <w:t>http://dx.doi.org/10.1590/S1516-73132013000100003</w:t>
        </w:r>
      </w:hyperlink>
      <w:r>
        <w:t>.</w:t>
      </w:r>
    </w:p>
    <w:p w14:paraId="774F19D4" w14:textId="77777777" w:rsidR="00C33A41" w:rsidRDefault="007B3952">
      <w:pPr>
        <w:spacing w:line="240" w:lineRule="auto"/>
        <w:ind w:left="709" w:hanging="709"/>
      </w:pPr>
      <w:r>
        <w:t xml:space="preserve">Santos, M. C. dos, &amp; </w:t>
      </w:r>
      <w:proofErr w:type="spellStart"/>
      <w:r>
        <w:t>Böing</w:t>
      </w:r>
      <w:proofErr w:type="spellEnd"/>
      <w:r>
        <w:t xml:space="preserve">, E. (2018). Modelo </w:t>
      </w:r>
      <w:proofErr w:type="spellStart"/>
      <w:r>
        <w:t>bioecológico</w:t>
      </w:r>
      <w:proofErr w:type="spellEnd"/>
      <w:r>
        <w:t xml:space="preserve"> do desenvolvimento humano na intervenção psicossocial com adolescentes em conflito com a lei. </w:t>
      </w:r>
      <w:r>
        <w:rPr>
          <w:i/>
        </w:rPr>
        <w:t>Nova Perspectiva Sistêmica</w:t>
      </w:r>
      <w:r>
        <w:t xml:space="preserve">, </w:t>
      </w:r>
      <w:r>
        <w:rPr>
          <w:i/>
        </w:rPr>
        <w:t>27</w:t>
      </w:r>
      <w:r>
        <w:t xml:space="preserve">(61), 93-109. Recuperado de: </w:t>
      </w:r>
      <w:hyperlink r:id="rId116">
        <w:r>
          <w:rPr>
            <w:color w:val="1155CC"/>
            <w:u w:val="single"/>
          </w:rPr>
          <w:t>http://pepsic.bvsalud.org/scielo.php?script=sci_arttext&amp;pid=S0104-78412018000200008&amp;lng=pt&amp;tlng=pt</w:t>
        </w:r>
      </w:hyperlink>
      <w:r>
        <w:t>. Acesso em: 09 jan 2023.</w:t>
      </w:r>
    </w:p>
    <w:p w14:paraId="309EDDD1" w14:textId="77777777" w:rsidR="00C33A41" w:rsidRDefault="007B3952">
      <w:pPr>
        <w:spacing w:line="240" w:lineRule="auto"/>
        <w:ind w:left="709" w:hanging="709"/>
      </w:pPr>
      <w:r>
        <w:rPr>
          <w:highlight w:val="white"/>
        </w:rPr>
        <w:lastRenderedPageBreak/>
        <w:t>Santos, M. E. de G., &amp; Oliveira, A. L. de. (2021). Educação em tempos de pandemia: projeto de vida de jovens do ensino médio. </w:t>
      </w:r>
      <w:r>
        <w:rPr>
          <w:i/>
          <w:highlight w:val="white"/>
        </w:rPr>
        <w:t>Revista De Estudos Em Educação E Diversidade - REED</w:t>
      </w:r>
      <w:r>
        <w:rPr>
          <w:highlight w:val="white"/>
        </w:rPr>
        <w:t>, </w:t>
      </w:r>
      <w:r>
        <w:rPr>
          <w:i/>
          <w:highlight w:val="white"/>
        </w:rPr>
        <w:t>2</w:t>
      </w:r>
      <w:r>
        <w:rPr>
          <w:highlight w:val="white"/>
        </w:rPr>
        <w:t xml:space="preserve">(4), 1-19. </w:t>
      </w:r>
      <w:hyperlink r:id="rId117">
        <w:r>
          <w:rPr>
            <w:color w:val="0563C1"/>
            <w:highlight w:val="white"/>
            <w:u w:val="single"/>
          </w:rPr>
          <w:t>https://doi.org/10.22481/reed.v2i4.8470</w:t>
        </w:r>
      </w:hyperlink>
    </w:p>
    <w:p w14:paraId="59B061E2" w14:textId="77777777" w:rsidR="00C33A41" w:rsidRDefault="007B3952">
      <w:pPr>
        <w:spacing w:line="240" w:lineRule="auto"/>
        <w:ind w:left="709" w:hanging="709"/>
      </w:pPr>
      <w:proofErr w:type="spellStart"/>
      <w:r>
        <w:rPr>
          <w:color w:val="403D39"/>
          <w:highlight w:val="white"/>
        </w:rPr>
        <w:t>Sawaia</w:t>
      </w:r>
      <w:proofErr w:type="spellEnd"/>
      <w:r>
        <w:rPr>
          <w:color w:val="403D39"/>
          <w:highlight w:val="white"/>
        </w:rPr>
        <w:t xml:space="preserve">, </w:t>
      </w:r>
      <w:proofErr w:type="spellStart"/>
      <w:r>
        <w:rPr>
          <w:color w:val="403D39"/>
          <w:highlight w:val="white"/>
        </w:rPr>
        <w:t>Bader</w:t>
      </w:r>
      <w:proofErr w:type="spellEnd"/>
      <w:r>
        <w:rPr>
          <w:color w:val="403D39"/>
          <w:highlight w:val="white"/>
        </w:rPr>
        <w:t xml:space="preserve"> (2001). </w:t>
      </w:r>
      <w:r>
        <w:rPr>
          <w:i/>
          <w:color w:val="403D39"/>
          <w:highlight w:val="white"/>
        </w:rPr>
        <w:t>As artimanhas da exclusão</w:t>
      </w:r>
      <w:r>
        <w:rPr>
          <w:color w:val="403D39"/>
          <w:highlight w:val="white"/>
        </w:rPr>
        <w:t xml:space="preserve">: </w:t>
      </w:r>
      <w:r>
        <w:rPr>
          <w:i/>
          <w:color w:val="403D39"/>
          <w:highlight w:val="white"/>
        </w:rPr>
        <w:t xml:space="preserve">análise psicossocial e ética da desigualdade social. </w:t>
      </w:r>
      <w:r>
        <w:rPr>
          <w:color w:val="403D39"/>
          <w:highlight w:val="white"/>
        </w:rPr>
        <w:t>Petrópolis: Vozes.</w:t>
      </w:r>
    </w:p>
    <w:p w14:paraId="5EA7F577" w14:textId="77777777" w:rsidR="00C33A41" w:rsidRDefault="007B3952">
      <w:pPr>
        <w:spacing w:line="240" w:lineRule="auto"/>
        <w:ind w:left="709" w:hanging="709"/>
      </w:pPr>
      <w:proofErr w:type="spellStart"/>
      <w:r>
        <w:t>Scaff</w:t>
      </w:r>
      <w:proofErr w:type="spellEnd"/>
      <w:r>
        <w:t xml:space="preserve">, E. A. da S., Rezende Souza, K., &amp; Maria </w:t>
      </w:r>
      <w:proofErr w:type="spellStart"/>
      <w:r>
        <w:t>Bortot</w:t>
      </w:r>
      <w:proofErr w:type="spellEnd"/>
      <w:r>
        <w:t xml:space="preserve">, C. (2021). COVID-19 e educação pública no Brasil: efeitos e opções políticas em contexto de vulnerabilidade social. </w:t>
      </w:r>
      <w:r>
        <w:rPr>
          <w:i/>
        </w:rPr>
        <w:t xml:space="preserve">Revista De </w:t>
      </w:r>
      <w:proofErr w:type="spellStart"/>
      <w:r>
        <w:rPr>
          <w:i/>
        </w:rPr>
        <w:t>Estudios</w:t>
      </w:r>
      <w:proofErr w:type="spellEnd"/>
      <w:r>
        <w:rPr>
          <w:i/>
        </w:rPr>
        <w:t xml:space="preserve"> Teóricos Y Epistemológicos En Política Educativa, 6</w:t>
      </w:r>
      <w:r>
        <w:t>, 1–19.</w:t>
      </w:r>
      <w:hyperlink r:id="rId118">
        <w:r>
          <w:t xml:space="preserve"> https://doi.org/10.5212/retepe.v.6.18357.006</w:t>
        </w:r>
      </w:hyperlink>
    </w:p>
    <w:p w14:paraId="6C80B251" w14:textId="77777777" w:rsidR="00C33A41" w:rsidRDefault="007B3952">
      <w:pPr>
        <w:spacing w:line="240" w:lineRule="auto"/>
        <w:ind w:left="709" w:hanging="709"/>
      </w:pPr>
      <w:proofErr w:type="spellStart"/>
      <w:r>
        <w:t>Schwan</w:t>
      </w:r>
      <w:proofErr w:type="spellEnd"/>
      <w:r>
        <w:t xml:space="preserve">, A. C. O. G., &amp; Secco, D. P. (2021). </w:t>
      </w:r>
      <w:r>
        <w:rPr>
          <w:i/>
        </w:rPr>
        <w:t>Covid-19 e os adolescentes em medida socioeducativa de internação</w:t>
      </w:r>
      <w:r>
        <w:t xml:space="preserve">. Fórum de Segurança Pública. Recuperado de: </w:t>
      </w:r>
      <w:hyperlink r:id="rId119">
        <w:r>
          <w:rPr>
            <w:color w:val="0563C1"/>
            <w:u w:val="single"/>
          </w:rPr>
          <w:t>https://fontesegura.forumseguranca.org.br/wp-content/uploads/2022/04/Ed_53_(Multiplas_vozes)_Covid-19-e-os-adolescentes-em-medida-socioeducativa-de-internacao.pdf</w:t>
        </w:r>
      </w:hyperlink>
      <w:r>
        <w:t>. Acesso em: 04 fev. 2021.</w:t>
      </w:r>
    </w:p>
    <w:p w14:paraId="2045B055" w14:textId="77777777" w:rsidR="00C33A41" w:rsidRDefault="007B3952">
      <w:pPr>
        <w:spacing w:line="240" w:lineRule="auto"/>
        <w:ind w:left="709" w:hanging="709"/>
      </w:pPr>
      <w:proofErr w:type="spellStart"/>
      <w:r>
        <w:t>Scisleski</w:t>
      </w:r>
      <w:proofErr w:type="spellEnd"/>
      <w:r>
        <w:t xml:space="preserve">, A. C. C.; Bruno, B. S.; Galeano, G. B.; Santos, S. N dos, &amp; Silva, J. L. C. da. (2015). Medida socioeducativa de internação: estratégia punitiva ou </w:t>
      </w:r>
      <w:proofErr w:type="gramStart"/>
      <w:r>
        <w:t>protetiva?.</w:t>
      </w:r>
      <w:proofErr w:type="gramEnd"/>
      <w:r>
        <w:t xml:space="preserve"> </w:t>
      </w:r>
      <w:r>
        <w:rPr>
          <w:i/>
        </w:rPr>
        <w:t>Psicologia &amp; Sociedade, 27</w:t>
      </w:r>
      <w:r>
        <w:t xml:space="preserve">(3), 505-515. </w:t>
      </w:r>
      <w:hyperlink r:id="rId120">
        <w:r>
          <w:rPr>
            <w:color w:val="0563C1"/>
            <w:u w:val="single"/>
          </w:rPr>
          <w:t>https://dx.doi.org/10.1590/1807-03102015v27n3p505</w:t>
        </w:r>
      </w:hyperlink>
      <w:r>
        <w:t xml:space="preserve"> </w:t>
      </w:r>
    </w:p>
    <w:p w14:paraId="2C8A7DBA" w14:textId="77777777" w:rsidR="00C33A41" w:rsidRDefault="007B3952">
      <w:pPr>
        <w:spacing w:line="240" w:lineRule="auto"/>
        <w:ind w:left="709" w:hanging="709"/>
      </w:pPr>
      <w:r>
        <w:t xml:space="preserve">Senna, S. R. C. M. &amp; </w:t>
      </w:r>
      <w:proofErr w:type="spellStart"/>
      <w:r>
        <w:t>Dessen</w:t>
      </w:r>
      <w:proofErr w:type="spellEnd"/>
      <w:r>
        <w:t xml:space="preserve">, M. A. (2012). Contribuições das teorias do desenvolvimento humano para a concepção contemporânea da adolescência. </w:t>
      </w:r>
      <w:r>
        <w:rPr>
          <w:i/>
        </w:rPr>
        <w:t>Psicologia: Teoria e Pesquisa, 28</w:t>
      </w:r>
      <w:r>
        <w:t xml:space="preserve">(1), 101-108. </w:t>
      </w:r>
      <w:hyperlink r:id="rId121">
        <w:r>
          <w:rPr>
            <w:color w:val="0563C1"/>
            <w:u w:val="single"/>
          </w:rPr>
          <w:t>https://doi.org/10.1590/S0102-37722012000100013</w:t>
        </w:r>
      </w:hyperlink>
      <w:r>
        <w:t xml:space="preserve"> </w:t>
      </w:r>
    </w:p>
    <w:p w14:paraId="58062209" w14:textId="77777777" w:rsidR="00C33A41" w:rsidRDefault="007B3952">
      <w:pPr>
        <w:spacing w:line="240" w:lineRule="auto"/>
        <w:ind w:left="709" w:hanging="709"/>
      </w:pPr>
      <w:r>
        <w:t xml:space="preserve">Silva-Rodrigues, F. M., Silva, J. K. da, &amp; Felix, A. M. da S. (2021). </w:t>
      </w:r>
      <w:proofErr w:type="spellStart"/>
      <w:r>
        <w:t>Coronavirus</w:t>
      </w:r>
      <w:proofErr w:type="spellEnd"/>
      <w:r>
        <w:t xml:space="preserve"> </w:t>
      </w:r>
      <w:proofErr w:type="spellStart"/>
      <w:r>
        <w:t>infection</w:t>
      </w:r>
      <w:proofErr w:type="spellEnd"/>
      <w:r>
        <w:t xml:space="preserve"> </w:t>
      </w:r>
      <w:proofErr w:type="spellStart"/>
      <w:r>
        <w:t>and</w:t>
      </w:r>
      <w:proofErr w:type="spellEnd"/>
      <w:r>
        <w:t xml:space="preserve"> </w:t>
      </w:r>
      <w:proofErr w:type="spellStart"/>
      <w:r>
        <w:t>nursing</w:t>
      </w:r>
      <w:proofErr w:type="spellEnd"/>
      <w:r>
        <w:t xml:space="preserve"> </w:t>
      </w:r>
      <w:proofErr w:type="spellStart"/>
      <w:r>
        <w:t>care</w:t>
      </w:r>
      <w:proofErr w:type="spellEnd"/>
      <w:r>
        <w:t xml:space="preserve"> for </w:t>
      </w:r>
      <w:proofErr w:type="spellStart"/>
      <w:r>
        <w:t>children</w:t>
      </w:r>
      <w:proofErr w:type="spellEnd"/>
      <w:r>
        <w:t xml:space="preserve"> </w:t>
      </w:r>
      <w:proofErr w:type="spellStart"/>
      <w:r>
        <w:t>and</w:t>
      </w:r>
      <w:proofErr w:type="spellEnd"/>
      <w:r>
        <w:t xml:space="preserve"> </w:t>
      </w:r>
      <w:proofErr w:type="spellStart"/>
      <w:r>
        <w:t>adolescents</w:t>
      </w:r>
      <w:proofErr w:type="spellEnd"/>
      <w:r>
        <w:t xml:space="preserve"> </w:t>
      </w:r>
      <w:proofErr w:type="spellStart"/>
      <w:r>
        <w:t>with</w:t>
      </w:r>
      <w:proofErr w:type="spellEnd"/>
      <w:r>
        <w:t xml:space="preserve"> </w:t>
      </w:r>
      <w:proofErr w:type="spellStart"/>
      <w:r>
        <w:t>cancer</w:t>
      </w:r>
      <w:proofErr w:type="spellEnd"/>
      <w:r>
        <w:t xml:space="preserve">. </w:t>
      </w:r>
      <w:r>
        <w:rPr>
          <w:i/>
        </w:rPr>
        <w:t>Revista Brasileira de Enfermagem, 74</w:t>
      </w:r>
      <w:r>
        <w:t>(</w:t>
      </w:r>
      <w:proofErr w:type="spellStart"/>
      <w:r>
        <w:t>Suppl</w:t>
      </w:r>
      <w:proofErr w:type="spellEnd"/>
      <w:r>
        <w:t xml:space="preserve"> 1), e20201049.</w:t>
      </w:r>
      <w:hyperlink r:id="rId122">
        <w:r>
          <w:t xml:space="preserve"> https://doi.org/10.1590/0034-7167-2020-1049</w:t>
        </w:r>
      </w:hyperlink>
      <w:r>
        <w:t>.</w:t>
      </w:r>
    </w:p>
    <w:p w14:paraId="7E548876" w14:textId="77777777" w:rsidR="00C33A41" w:rsidRDefault="007B3952">
      <w:pPr>
        <w:spacing w:line="240" w:lineRule="auto"/>
        <w:ind w:left="709" w:hanging="709"/>
      </w:pPr>
      <w:r>
        <w:t xml:space="preserve">Silva, V. M. da., Teichmann, P. do V., </w:t>
      </w:r>
      <w:proofErr w:type="spellStart"/>
      <w:r>
        <w:t>Scanlon</w:t>
      </w:r>
      <w:proofErr w:type="spellEnd"/>
      <w:r>
        <w:t xml:space="preserve">, T., Santos, J. V. T. dos., &amp; </w:t>
      </w:r>
      <w:proofErr w:type="spellStart"/>
      <w:r>
        <w:t>Goldani</w:t>
      </w:r>
      <w:proofErr w:type="spellEnd"/>
      <w:r>
        <w:t xml:space="preserve">, M. Z. (2020). A mortalidade entre adolescentes egressos do sistema penal. </w:t>
      </w:r>
      <w:r>
        <w:rPr>
          <w:i/>
        </w:rPr>
        <w:t>Ciência &amp; Saúde Coletiva, 25</w:t>
      </w:r>
      <w:r>
        <w:t xml:space="preserve">(10), 3703–3711. </w:t>
      </w:r>
      <w:hyperlink r:id="rId123">
        <w:r>
          <w:rPr>
            <w:color w:val="0563C1"/>
            <w:u w:val="single"/>
          </w:rPr>
          <w:t>https://doi.org/10.1590/1413-812320202510.17622018</w:t>
        </w:r>
      </w:hyperlink>
      <w:r>
        <w:t xml:space="preserve"> </w:t>
      </w:r>
    </w:p>
    <w:p w14:paraId="0C0404DE" w14:textId="77777777" w:rsidR="00C33A41" w:rsidRDefault="007B3952">
      <w:pPr>
        <w:spacing w:line="240" w:lineRule="auto"/>
        <w:ind w:left="709" w:hanging="709"/>
      </w:pPr>
      <w:r>
        <w:t xml:space="preserve">Silveira, D. T., &amp; </w:t>
      </w:r>
      <w:proofErr w:type="spellStart"/>
      <w:r>
        <w:t>Códova</w:t>
      </w:r>
      <w:proofErr w:type="spellEnd"/>
      <w:r>
        <w:t xml:space="preserve">, F. P. (2009). A pesquisa científica. In </w:t>
      </w:r>
      <w:proofErr w:type="spellStart"/>
      <w:r>
        <w:t>Gerharddt</w:t>
      </w:r>
      <w:proofErr w:type="spellEnd"/>
      <w:r>
        <w:t xml:space="preserve">, T. E. &amp; Silveira, D. T. (org). </w:t>
      </w:r>
      <w:r>
        <w:rPr>
          <w:i/>
        </w:rPr>
        <w:t>Métodos de Pesquisa</w:t>
      </w:r>
      <w:r>
        <w:t xml:space="preserve"> (pp. 31-42). Porto Alegre: Editora de UFRGS.</w:t>
      </w:r>
    </w:p>
    <w:p w14:paraId="113B5EA4" w14:textId="77777777" w:rsidR="00C33A41" w:rsidRDefault="007B3952">
      <w:pPr>
        <w:spacing w:line="240" w:lineRule="auto"/>
        <w:ind w:left="709" w:hanging="709"/>
      </w:pPr>
      <w:r>
        <w:t xml:space="preserve">Silveira, K. S. S., Machado, J. C., </w:t>
      </w:r>
      <w:proofErr w:type="spellStart"/>
      <w:r>
        <w:t>Zappe</w:t>
      </w:r>
      <w:proofErr w:type="spellEnd"/>
      <w:r>
        <w:t xml:space="preserve">, J. G., &amp; Dias, A. C. G. (2015). Projetos futuros de adolescentes privados de liberdade: implicações para o processo socioeducativo. </w:t>
      </w:r>
      <w:r>
        <w:rPr>
          <w:i/>
        </w:rPr>
        <w:t>Psicologia: teoria e prática, 17</w:t>
      </w:r>
      <w:r>
        <w:t xml:space="preserve">(2), 52-63. Recuperado de </w:t>
      </w:r>
      <w:hyperlink r:id="rId124">
        <w:r>
          <w:rPr>
            <w:color w:val="000000"/>
            <w:u w:val="single"/>
          </w:rPr>
          <w:t xml:space="preserve">http://pepsic.bvsalud.org/scielo.php?script=sci_ </w:t>
        </w:r>
        <w:proofErr w:type="spellStart"/>
        <w:r>
          <w:rPr>
            <w:color w:val="000000"/>
            <w:u w:val="single"/>
          </w:rPr>
          <w:t>arttext&amp;pid</w:t>
        </w:r>
        <w:proofErr w:type="spellEnd"/>
        <w:r>
          <w:rPr>
            <w:color w:val="000000"/>
            <w:u w:val="single"/>
          </w:rPr>
          <w:t>=S1516-36872015000200004&amp;lng=</w:t>
        </w:r>
        <w:proofErr w:type="spellStart"/>
        <w:r>
          <w:rPr>
            <w:color w:val="000000"/>
            <w:u w:val="single"/>
          </w:rPr>
          <w:t>pt&amp;tlng</w:t>
        </w:r>
        <w:proofErr w:type="spellEnd"/>
        <w:r>
          <w:rPr>
            <w:color w:val="000000"/>
            <w:u w:val="single"/>
          </w:rPr>
          <w:t>=</w:t>
        </w:r>
        <w:proofErr w:type="spellStart"/>
        <w:r>
          <w:rPr>
            <w:color w:val="000000"/>
            <w:u w:val="single"/>
          </w:rPr>
          <w:t>pt</w:t>
        </w:r>
        <w:proofErr w:type="spellEnd"/>
      </w:hyperlink>
      <w:r>
        <w:rPr>
          <w:color w:val="0563C1"/>
          <w:u w:val="single"/>
        </w:rPr>
        <w:t>. Acesso em: 30 set. 2020.</w:t>
      </w:r>
    </w:p>
    <w:p w14:paraId="2DAA7094" w14:textId="77777777" w:rsidR="00C33A41" w:rsidRDefault="007B3952">
      <w:pPr>
        <w:spacing w:line="240" w:lineRule="auto"/>
        <w:ind w:left="709" w:hanging="709"/>
      </w:pPr>
      <w:r>
        <w:t xml:space="preserve">Singer, M., </w:t>
      </w:r>
      <w:proofErr w:type="spellStart"/>
      <w:r>
        <w:t>Bulled</w:t>
      </w:r>
      <w:proofErr w:type="spellEnd"/>
      <w:r>
        <w:t xml:space="preserve">, N., </w:t>
      </w:r>
      <w:proofErr w:type="spellStart"/>
      <w:r>
        <w:t>Ostrach</w:t>
      </w:r>
      <w:proofErr w:type="spellEnd"/>
      <w:r>
        <w:t xml:space="preserve">, B., &amp; Mendenhall, E. (2017). </w:t>
      </w:r>
      <w:proofErr w:type="spellStart"/>
      <w:r>
        <w:t>Syndemics</w:t>
      </w:r>
      <w:proofErr w:type="spellEnd"/>
      <w:r>
        <w:t xml:space="preserve"> </w:t>
      </w:r>
      <w:proofErr w:type="spellStart"/>
      <w:r>
        <w:t>and</w:t>
      </w:r>
      <w:proofErr w:type="spellEnd"/>
      <w:r>
        <w:t xml:space="preserve"> the </w:t>
      </w:r>
      <w:proofErr w:type="spellStart"/>
      <w:r>
        <w:t>biosocial</w:t>
      </w:r>
      <w:proofErr w:type="spellEnd"/>
      <w:r>
        <w:t xml:space="preserve"> </w:t>
      </w:r>
      <w:proofErr w:type="spellStart"/>
      <w:r>
        <w:t>conception</w:t>
      </w:r>
      <w:proofErr w:type="spellEnd"/>
      <w:r>
        <w:t xml:space="preserve"> </w:t>
      </w:r>
      <w:proofErr w:type="spellStart"/>
      <w:r>
        <w:t>of</w:t>
      </w:r>
      <w:proofErr w:type="spellEnd"/>
      <w:r>
        <w:t xml:space="preserve"> </w:t>
      </w:r>
      <w:proofErr w:type="spellStart"/>
      <w:r>
        <w:t>health</w:t>
      </w:r>
      <w:proofErr w:type="spellEnd"/>
      <w:r>
        <w:t xml:space="preserve">. </w:t>
      </w:r>
      <w:r>
        <w:rPr>
          <w:i/>
        </w:rPr>
        <w:t>The Lancet, 389</w:t>
      </w:r>
      <w:r>
        <w:t>(10072), 941–950. 10.1016/s0140-6736(17)30003-x</w:t>
      </w:r>
    </w:p>
    <w:p w14:paraId="7EAD9DAD" w14:textId="77777777" w:rsidR="00C33A41" w:rsidRDefault="007B3952">
      <w:pPr>
        <w:spacing w:line="240" w:lineRule="auto"/>
        <w:ind w:left="709" w:hanging="709"/>
        <w:rPr>
          <w:highlight w:val="white"/>
        </w:rPr>
      </w:pPr>
      <w:r>
        <w:rPr>
          <w:highlight w:val="white"/>
        </w:rPr>
        <w:t xml:space="preserve">Silva, P. S. da, &amp; </w:t>
      </w:r>
      <w:proofErr w:type="spellStart"/>
      <w:r>
        <w:rPr>
          <w:highlight w:val="white"/>
        </w:rPr>
        <w:t>Arguello</w:t>
      </w:r>
      <w:proofErr w:type="spellEnd"/>
      <w:r>
        <w:rPr>
          <w:highlight w:val="white"/>
        </w:rPr>
        <w:t>, K. S. C. (2022). A internação provisória de adolescentes e o Tribunal de Justiça de São Paulo: uma abordagem criminológica das decisões publicadas durante a pandemia. </w:t>
      </w:r>
      <w:r>
        <w:rPr>
          <w:i/>
          <w:highlight w:val="white"/>
        </w:rPr>
        <w:t>Revista Brasileira De Segurança Pública</w:t>
      </w:r>
      <w:r>
        <w:rPr>
          <w:highlight w:val="white"/>
        </w:rPr>
        <w:t>, </w:t>
      </w:r>
      <w:r>
        <w:rPr>
          <w:i/>
          <w:highlight w:val="white"/>
        </w:rPr>
        <w:t>16</w:t>
      </w:r>
      <w:r>
        <w:rPr>
          <w:highlight w:val="white"/>
        </w:rPr>
        <w:t xml:space="preserve">(3). 96-111. </w:t>
      </w:r>
      <w:hyperlink r:id="rId125">
        <w:r>
          <w:rPr>
            <w:color w:val="0563C1"/>
            <w:highlight w:val="white"/>
            <w:u w:val="single"/>
          </w:rPr>
          <w:t>https://doi.org/10.31060/rbsp.2022.v16.n3.1653</w:t>
        </w:r>
      </w:hyperlink>
    </w:p>
    <w:p w14:paraId="6586F3BA" w14:textId="77777777" w:rsidR="00C33A41" w:rsidRDefault="007B3952">
      <w:pPr>
        <w:spacing w:line="240" w:lineRule="auto"/>
        <w:ind w:left="709" w:hanging="709"/>
        <w:rPr>
          <w:highlight w:val="white"/>
        </w:rPr>
      </w:pPr>
      <w:r>
        <w:rPr>
          <w:color w:val="000000"/>
        </w:rPr>
        <w:t xml:space="preserve">Silveira, K. S. da S., Machado, J. C., </w:t>
      </w:r>
      <w:proofErr w:type="spellStart"/>
      <w:r>
        <w:rPr>
          <w:color w:val="000000"/>
        </w:rPr>
        <w:t>Zappe</w:t>
      </w:r>
      <w:proofErr w:type="spellEnd"/>
      <w:r>
        <w:rPr>
          <w:color w:val="000000"/>
        </w:rPr>
        <w:t>, J. G., &amp; Dias, A. C. G. (2015). Projetos futuros de adolescentes privados de liberdade: implicações para o processo socioeducativo. </w:t>
      </w:r>
      <w:r>
        <w:rPr>
          <w:i/>
          <w:color w:val="000000"/>
        </w:rPr>
        <w:t>Psicologia: teoria e prática</w:t>
      </w:r>
      <w:r>
        <w:rPr>
          <w:color w:val="000000"/>
        </w:rPr>
        <w:t>, </w:t>
      </w:r>
      <w:r>
        <w:rPr>
          <w:i/>
          <w:color w:val="000000"/>
        </w:rPr>
        <w:t>17</w:t>
      </w:r>
      <w:r>
        <w:rPr>
          <w:color w:val="000000"/>
        </w:rPr>
        <w:t xml:space="preserve">(2), 52-63. Recuperado de: </w:t>
      </w:r>
      <w:hyperlink r:id="rId126">
        <w:r>
          <w:rPr>
            <w:color w:val="0563C1"/>
            <w:u w:val="single"/>
          </w:rPr>
          <w:t>http://pepsic.bvsalud.org/scielo.php?script=sci_arttext&amp;pid=S1516-36872015000200004&amp;lng=pt&amp;tlng=pt</w:t>
        </w:r>
      </w:hyperlink>
      <w:r>
        <w:rPr>
          <w:color w:val="000000"/>
        </w:rPr>
        <w:t>. Acesso em: 17 set. 2022.</w:t>
      </w:r>
    </w:p>
    <w:p w14:paraId="05410668" w14:textId="77777777" w:rsidR="00C33A41" w:rsidRDefault="007B3952">
      <w:pPr>
        <w:spacing w:line="240" w:lineRule="auto"/>
        <w:ind w:left="709" w:hanging="709"/>
      </w:pPr>
      <w:r>
        <w:t xml:space="preserve">Souza, L. K. de. (2019). Pesquisa com análise qualitativa de dados: conhecendo a Análise Temática. </w:t>
      </w:r>
      <w:r>
        <w:rPr>
          <w:i/>
        </w:rPr>
        <w:t>Arquivos Brasileiros de Psicologia, 71</w:t>
      </w:r>
      <w:r>
        <w:t>(2), 51-67.</w:t>
      </w:r>
      <w:hyperlink r:id="rId127">
        <w:r>
          <w:t xml:space="preserve"> doi:10.36482/1809-5267.ARBP2019v71i2p.51-67</w:t>
        </w:r>
      </w:hyperlink>
    </w:p>
    <w:p w14:paraId="2A9F8379" w14:textId="77777777" w:rsidR="00C33A41" w:rsidRDefault="007B3952">
      <w:pPr>
        <w:spacing w:line="240" w:lineRule="auto"/>
        <w:ind w:left="709" w:hanging="709"/>
      </w:pPr>
      <w:proofErr w:type="spellStart"/>
      <w:r>
        <w:t>Sposato</w:t>
      </w:r>
      <w:proofErr w:type="spellEnd"/>
      <w:r>
        <w:t xml:space="preserve">, K. B., &amp; Moitinho, V. C. (2021). A internação socioeducativa em tempos de Covid-19: desafios para a cidadania dos adolescentes. </w:t>
      </w:r>
      <w:r>
        <w:rPr>
          <w:i/>
        </w:rPr>
        <w:t>Revista de Direitos Humanos e Desenvolvimento Social, 2</w:t>
      </w:r>
      <w:r>
        <w:t>, e225885. https://doi.org/10.24220/2675-9160v2e2021a5885</w:t>
      </w:r>
    </w:p>
    <w:p w14:paraId="44837B91" w14:textId="77777777" w:rsidR="00C33A41" w:rsidRDefault="007B3952">
      <w:pPr>
        <w:spacing w:line="240" w:lineRule="auto"/>
        <w:ind w:left="709" w:hanging="709"/>
      </w:pPr>
      <w:proofErr w:type="spellStart"/>
      <w:r>
        <w:t>Tudge</w:t>
      </w:r>
      <w:proofErr w:type="spellEnd"/>
      <w:r>
        <w:t xml:space="preserve">, J. (2012). </w:t>
      </w:r>
      <w:r>
        <w:rPr>
          <w:i/>
        </w:rPr>
        <w:t xml:space="preserve">A teoria de </w:t>
      </w:r>
      <w:proofErr w:type="spellStart"/>
      <w:r>
        <w:rPr>
          <w:i/>
        </w:rPr>
        <w:t>Urie</w:t>
      </w:r>
      <w:proofErr w:type="spellEnd"/>
      <w:r>
        <w:rPr>
          <w:i/>
        </w:rPr>
        <w:t xml:space="preserve"> Bronfenbrenner: uma teoria </w:t>
      </w:r>
      <w:proofErr w:type="spellStart"/>
      <w:r>
        <w:rPr>
          <w:i/>
        </w:rPr>
        <w:t>contextualista</w:t>
      </w:r>
      <w:proofErr w:type="spellEnd"/>
      <w:r>
        <w:t>? Família e educação: olhares da Psicologia. 2. ed. São Paulo: Paulinas, 209-231.</w:t>
      </w:r>
    </w:p>
    <w:p w14:paraId="032855E0" w14:textId="77777777" w:rsidR="00C33A41" w:rsidRDefault="007B3952">
      <w:pPr>
        <w:spacing w:line="240" w:lineRule="auto"/>
        <w:ind w:left="709" w:hanging="709"/>
      </w:pPr>
      <w:r>
        <w:t xml:space="preserve">United </w:t>
      </w:r>
      <w:proofErr w:type="spellStart"/>
      <w:r>
        <w:t>Nations</w:t>
      </w:r>
      <w:proofErr w:type="spellEnd"/>
      <w:r>
        <w:t xml:space="preserve">. [ONU]. (2020). </w:t>
      </w:r>
      <w:proofErr w:type="spellStart"/>
      <w:r>
        <w:rPr>
          <w:i/>
        </w:rPr>
        <w:t>Policy</w:t>
      </w:r>
      <w:proofErr w:type="spellEnd"/>
      <w:r>
        <w:rPr>
          <w:i/>
        </w:rPr>
        <w:t xml:space="preserve"> </w:t>
      </w:r>
      <w:proofErr w:type="spellStart"/>
      <w:r>
        <w:rPr>
          <w:i/>
        </w:rPr>
        <w:t>Brief</w:t>
      </w:r>
      <w:proofErr w:type="spellEnd"/>
      <w:r>
        <w:rPr>
          <w:i/>
        </w:rPr>
        <w:t xml:space="preserve">: Covid-19 </w:t>
      </w:r>
      <w:proofErr w:type="spellStart"/>
      <w:r>
        <w:rPr>
          <w:i/>
        </w:rPr>
        <w:t>and</w:t>
      </w:r>
      <w:proofErr w:type="spellEnd"/>
      <w:r>
        <w:rPr>
          <w:i/>
        </w:rPr>
        <w:t xml:space="preserve"> the </w:t>
      </w:r>
      <w:proofErr w:type="spellStart"/>
      <w:r>
        <w:rPr>
          <w:i/>
        </w:rPr>
        <w:t>Need</w:t>
      </w:r>
      <w:proofErr w:type="spellEnd"/>
      <w:r>
        <w:rPr>
          <w:i/>
        </w:rPr>
        <w:t xml:space="preserve"> for </w:t>
      </w:r>
      <w:proofErr w:type="spellStart"/>
      <w:r>
        <w:rPr>
          <w:i/>
        </w:rPr>
        <w:t>Action</w:t>
      </w:r>
      <w:proofErr w:type="spellEnd"/>
      <w:r>
        <w:rPr>
          <w:i/>
        </w:rPr>
        <w:t xml:space="preserve"> </w:t>
      </w:r>
      <w:proofErr w:type="spellStart"/>
      <w:r>
        <w:rPr>
          <w:i/>
        </w:rPr>
        <w:t>on</w:t>
      </w:r>
      <w:proofErr w:type="spellEnd"/>
      <w:r>
        <w:rPr>
          <w:i/>
        </w:rPr>
        <w:t xml:space="preserve"> Mental Health</w:t>
      </w:r>
      <w:r>
        <w:t>. Recuperado de</w:t>
      </w:r>
      <w:hyperlink r:id="rId128">
        <w:r>
          <w:t xml:space="preserve"> https://www.un.org/sites/un2.un.org/files/un_policy_brief-covid_and_mental_health_final.pdf</w:t>
        </w:r>
      </w:hyperlink>
    </w:p>
    <w:p w14:paraId="3D7330F1" w14:textId="77777777" w:rsidR="00C33A41" w:rsidRDefault="007B3952">
      <w:pPr>
        <w:spacing w:line="240" w:lineRule="auto"/>
        <w:ind w:left="709" w:hanging="709"/>
      </w:pPr>
      <w:r>
        <w:t xml:space="preserve">United </w:t>
      </w:r>
      <w:proofErr w:type="spellStart"/>
      <w:r>
        <w:t>Nations</w:t>
      </w:r>
      <w:proofErr w:type="spellEnd"/>
      <w:r>
        <w:t xml:space="preserve"> </w:t>
      </w:r>
      <w:proofErr w:type="spellStart"/>
      <w:r>
        <w:t>Children’s</w:t>
      </w:r>
      <w:proofErr w:type="spellEnd"/>
      <w:r>
        <w:t xml:space="preserve"> Fund. (2021). The </w:t>
      </w:r>
      <w:proofErr w:type="spellStart"/>
      <w:r>
        <w:t>State</w:t>
      </w:r>
      <w:proofErr w:type="spellEnd"/>
      <w:r>
        <w:t xml:space="preserve"> </w:t>
      </w:r>
      <w:proofErr w:type="spellStart"/>
      <w:r>
        <w:t>of</w:t>
      </w:r>
      <w:proofErr w:type="spellEnd"/>
      <w:r>
        <w:t xml:space="preserve"> the </w:t>
      </w:r>
      <w:proofErr w:type="spellStart"/>
      <w:r>
        <w:t>World’s</w:t>
      </w:r>
      <w:proofErr w:type="spellEnd"/>
      <w:r>
        <w:t xml:space="preserve"> </w:t>
      </w:r>
      <w:proofErr w:type="spellStart"/>
      <w:r>
        <w:t>Children</w:t>
      </w:r>
      <w:proofErr w:type="spellEnd"/>
      <w:r>
        <w:t xml:space="preserve"> 2021: </w:t>
      </w:r>
      <w:proofErr w:type="spellStart"/>
      <w:r>
        <w:t>On</w:t>
      </w:r>
      <w:proofErr w:type="spellEnd"/>
      <w:r>
        <w:t xml:space="preserve"> </w:t>
      </w:r>
      <w:proofErr w:type="spellStart"/>
      <w:r>
        <w:t>My</w:t>
      </w:r>
      <w:proofErr w:type="spellEnd"/>
      <w:r>
        <w:t xml:space="preserve"> Mind – </w:t>
      </w:r>
      <w:proofErr w:type="spellStart"/>
      <w:r>
        <w:t>Promoting</w:t>
      </w:r>
      <w:proofErr w:type="spellEnd"/>
      <w:r>
        <w:t xml:space="preserve">, </w:t>
      </w:r>
      <w:proofErr w:type="spellStart"/>
      <w:r>
        <w:t>protecting</w:t>
      </w:r>
      <w:proofErr w:type="spellEnd"/>
      <w:r>
        <w:t xml:space="preserve"> </w:t>
      </w:r>
      <w:proofErr w:type="spellStart"/>
      <w:r>
        <w:t>and</w:t>
      </w:r>
      <w:proofErr w:type="spellEnd"/>
      <w:r>
        <w:t xml:space="preserve"> </w:t>
      </w:r>
      <w:proofErr w:type="spellStart"/>
      <w:r>
        <w:t>caring</w:t>
      </w:r>
      <w:proofErr w:type="spellEnd"/>
      <w:r>
        <w:t xml:space="preserve"> for </w:t>
      </w:r>
      <w:proofErr w:type="spellStart"/>
      <w:r>
        <w:t>children’s</w:t>
      </w:r>
      <w:proofErr w:type="spellEnd"/>
      <w:r>
        <w:t xml:space="preserve"> mental </w:t>
      </w:r>
      <w:proofErr w:type="spellStart"/>
      <w:r>
        <w:t>health</w:t>
      </w:r>
      <w:proofErr w:type="spellEnd"/>
      <w:r>
        <w:t xml:space="preserve">, UNICEF, New York. </w:t>
      </w:r>
      <w:hyperlink r:id="rId129">
        <w:r>
          <w:rPr>
            <w:color w:val="0563C1"/>
            <w:u w:val="single"/>
          </w:rPr>
          <w:t>https://www.unicef.org/media/114636/file/SOWC-2021-full-report-English.pdf</w:t>
        </w:r>
      </w:hyperlink>
      <w:r>
        <w:t xml:space="preserve">. </w:t>
      </w:r>
    </w:p>
    <w:p w14:paraId="07295ABC" w14:textId="77777777" w:rsidR="00C33A41" w:rsidRDefault="007B3952">
      <w:pPr>
        <w:spacing w:line="240" w:lineRule="auto"/>
        <w:ind w:left="709" w:hanging="709"/>
      </w:pPr>
      <w:r>
        <w:t xml:space="preserve">United </w:t>
      </w:r>
      <w:proofErr w:type="spellStart"/>
      <w:r>
        <w:t>Nations</w:t>
      </w:r>
      <w:proofErr w:type="spellEnd"/>
      <w:r>
        <w:t xml:space="preserve"> </w:t>
      </w:r>
      <w:proofErr w:type="spellStart"/>
      <w:r>
        <w:t>Educational</w:t>
      </w:r>
      <w:proofErr w:type="spellEnd"/>
      <w:r>
        <w:t xml:space="preserve">, </w:t>
      </w:r>
      <w:proofErr w:type="spellStart"/>
      <w:r>
        <w:t>Scientific</w:t>
      </w:r>
      <w:proofErr w:type="spellEnd"/>
      <w:r>
        <w:t xml:space="preserve"> </w:t>
      </w:r>
      <w:proofErr w:type="spellStart"/>
      <w:r>
        <w:t>and</w:t>
      </w:r>
      <w:proofErr w:type="spellEnd"/>
      <w:r>
        <w:t xml:space="preserve"> Cultural Organization. [UNESCO]. (2021). </w:t>
      </w:r>
      <w:r>
        <w:rPr>
          <w:i/>
        </w:rPr>
        <w:t xml:space="preserve">Covid-19 </w:t>
      </w:r>
      <w:proofErr w:type="spellStart"/>
      <w:r>
        <w:rPr>
          <w:i/>
        </w:rPr>
        <w:t>educational</w:t>
      </w:r>
      <w:proofErr w:type="spellEnd"/>
      <w:r>
        <w:rPr>
          <w:i/>
        </w:rPr>
        <w:t xml:space="preserve"> </w:t>
      </w:r>
      <w:proofErr w:type="spellStart"/>
      <w:r>
        <w:rPr>
          <w:i/>
        </w:rPr>
        <w:t>disruption</w:t>
      </w:r>
      <w:proofErr w:type="spellEnd"/>
      <w:r>
        <w:rPr>
          <w:i/>
        </w:rPr>
        <w:t xml:space="preserve"> </w:t>
      </w:r>
      <w:proofErr w:type="spellStart"/>
      <w:r>
        <w:rPr>
          <w:i/>
        </w:rPr>
        <w:t>and</w:t>
      </w:r>
      <w:proofErr w:type="spellEnd"/>
      <w:r>
        <w:rPr>
          <w:i/>
        </w:rPr>
        <w:t xml:space="preserve"> response</w:t>
      </w:r>
      <w:r>
        <w:t>. Recuperado de</w:t>
      </w:r>
      <w:hyperlink r:id="rId130">
        <w:r>
          <w:t xml:space="preserve"> https://en.unesco.org/covid19/educationresponse</w:t>
        </w:r>
      </w:hyperlink>
    </w:p>
    <w:p w14:paraId="588A85DC" w14:textId="77777777" w:rsidR="00C33A41" w:rsidRDefault="007B3952">
      <w:pPr>
        <w:spacing w:line="240" w:lineRule="auto"/>
        <w:ind w:left="709" w:hanging="709"/>
      </w:pPr>
      <w:r>
        <w:t xml:space="preserve">Veiga-Neto, A. (2020). Mais uma Lição: sindemia </w:t>
      </w:r>
      <w:proofErr w:type="spellStart"/>
      <w:r>
        <w:t>covídica</w:t>
      </w:r>
      <w:proofErr w:type="spellEnd"/>
      <w:r>
        <w:t xml:space="preserve"> e educação. </w:t>
      </w:r>
      <w:r>
        <w:rPr>
          <w:i/>
        </w:rPr>
        <w:t>Educação &amp; Realidade, 45</w:t>
      </w:r>
      <w:r>
        <w:t>(4), e109337.</w:t>
      </w:r>
      <w:hyperlink r:id="rId131">
        <w:r>
          <w:t xml:space="preserve"> https://doi.org/10.1590/2175-6236109337</w:t>
        </w:r>
      </w:hyperlink>
    </w:p>
    <w:p w14:paraId="553E1F2A" w14:textId="77777777" w:rsidR="00C33A41" w:rsidRDefault="007B3952">
      <w:pPr>
        <w:spacing w:line="240" w:lineRule="auto"/>
        <w:ind w:left="709" w:hanging="709"/>
      </w:pPr>
      <w:proofErr w:type="spellStart"/>
      <w:r>
        <w:t>Viner</w:t>
      </w:r>
      <w:proofErr w:type="spellEnd"/>
      <w:r>
        <w:t xml:space="preserve">, R. M., </w:t>
      </w:r>
      <w:proofErr w:type="spellStart"/>
      <w:r>
        <w:t>Mytton</w:t>
      </w:r>
      <w:proofErr w:type="spellEnd"/>
      <w:r>
        <w:t xml:space="preserve">, O. T., </w:t>
      </w:r>
      <w:proofErr w:type="spellStart"/>
      <w:r>
        <w:t>Bonell</w:t>
      </w:r>
      <w:proofErr w:type="spellEnd"/>
      <w:r>
        <w:t xml:space="preserve">, C., Melendez-Torres, G. J., Ward, J., Hudson, L., et al. (2021). </w:t>
      </w:r>
      <w:proofErr w:type="spellStart"/>
      <w:r>
        <w:t>Susceptibility</w:t>
      </w:r>
      <w:proofErr w:type="spellEnd"/>
      <w:r>
        <w:t xml:space="preserve"> </w:t>
      </w:r>
      <w:proofErr w:type="spellStart"/>
      <w:r>
        <w:t>to</w:t>
      </w:r>
      <w:proofErr w:type="spellEnd"/>
      <w:r>
        <w:t xml:space="preserve"> SARS-CoV-2 </w:t>
      </w:r>
      <w:proofErr w:type="spellStart"/>
      <w:r>
        <w:t>infection</w:t>
      </w:r>
      <w:proofErr w:type="spellEnd"/>
      <w:r>
        <w:t xml:space="preserve"> </w:t>
      </w:r>
      <w:proofErr w:type="spellStart"/>
      <w:r>
        <w:t>among</w:t>
      </w:r>
      <w:proofErr w:type="spellEnd"/>
      <w:r>
        <w:t xml:space="preserve"> </w:t>
      </w:r>
      <w:proofErr w:type="spellStart"/>
      <w:r>
        <w:t>children</w:t>
      </w:r>
      <w:proofErr w:type="spellEnd"/>
      <w:r>
        <w:t xml:space="preserve"> </w:t>
      </w:r>
      <w:proofErr w:type="spellStart"/>
      <w:r>
        <w:t>and</w:t>
      </w:r>
      <w:proofErr w:type="spellEnd"/>
      <w:r>
        <w:t xml:space="preserve"> </w:t>
      </w:r>
      <w:proofErr w:type="spellStart"/>
      <w:r>
        <w:t>adolescents</w:t>
      </w:r>
      <w:proofErr w:type="spellEnd"/>
      <w:r>
        <w:t xml:space="preserve"> </w:t>
      </w:r>
      <w:proofErr w:type="spellStart"/>
      <w:r>
        <w:t>compared</w:t>
      </w:r>
      <w:proofErr w:type="spellEnd"/>
      <w:r>
        <w:t xml:space="preserve"> </w:t>
      </w:r>
      <w:proofErr w:type="spellStart"/>
      <w:r>
        <w:t>with</w:t>
      </w:r>
      <w:proofErr w:type="spellEnd"/>
      <w:r>
        <w:t xml:space="preserve"> </w:t>
      </w:r>
      <w:proofErr w:type="spellStart"/>
      <w:r>
        <w:t>adults</w:t>
      </w:r>
      <w:proofErr w:type="spellEnd"/>
      <w:r>
        <w:t xml:space="preserve">: a </w:t>
      </w:r>
      <w:proofErr w:type="spellStart"/>
      <w:r>
        <w:t>systematic</w:t>
      </w:r>
      <w:proofErr w:type="spellEnd"/>
      <w:r>
        <w:t xml:space="preserve"> review </w:t>
      </w:r>
      <w:proofErr w:type="spellStart"/>
      <w:r>
        <w:t>and</w:t>
      </w:r>
      <w:proofErr w:type="spellEnd"/>
      <w:r>
        <w:t xml:space="preserve"> meta-</w:t>
      </w:r>
      <w:proofErr w:type="spellStart"/>
      <w:r>
        <w:t>analysis</w:t>
      </w:r>
      <w:proofErr w:type="spellEnd"/>
      <w:r>
        <w:rPr>
          <w:i/>
        </w:rPr>
        <w:t xml:space="preserve">. JAMA </w:t>
      </w:r>
      <w:proofErr w:type="spellStart"/>
      <w:r>
        <w:rPr>
          <w:i/>
        </w:rPr>
        <w:t>Pediatr</w:t>
      </w:r>
      <w:proofErr w:type="spellEnd"/>
      <w:r>
        <w:rPr>
          <w:i/>
        </w:rPr>
        <w:t>, 175</w:t>
      </w:r>
      <w:r>
        <w:t xml:space="preserve">(2), 143-56. </w:t>
      </w:r>
      <w:proofErr w:type="spellStart"/>
      <w:r>
        <w:t>doi</w:t>
      </w:r>
      <w:proofErr w:type="spellEnd"/>
      <w:r>
        <w:t>:</w:t>
      </w:r>
      <w:hyperlink r:id="rId132">
        <w:r>
          <w:t xml:space="preserve"> https://doi.org/10.1001/jamapediatrics.2020.4573</w:t>
        </w:r>
      </w:hyperlink>
    </w:p>
    <w:p w14:paraId="4B3E6AB8" w14:textId="77777777" w:rsidR="00C33A41" w:rsidRDefault="007B3952">
      <w:pPr>
        <w:spacing w:line="240" w:lineRule="auto"/>
        <w:ind w:left="709" w:hanging="709"/>
      </w:pPr>
      <w:r>
        <w:t xml:space="preserve">Vinuto, J. (2020). Ecos da pandemia nos sistemas socioeducativos: Masculinidades caricatas e suas propagações securitárias. DILEMAS: Revista de Estudos de Conflito e Controle Social, Reflexões na Pandemia, 1-13. Recuperado de: </w:t>
      </w:r>
      <w:hyperlink r:id="rId133">
        <w:r>
          <w:rPr>
            <w:color w:val="0563C1"/>
            <w:u w:val="single"/>
          </w:rPr>
          <w:t>http://necvu.com.br/wp-content/uploads/2020/11/VINUTO_Ecos-da-pandemia-nos-sistemas-socioeducativos.pdf</w:t>
        </w:r>
      </w:hyperlink>
      <w:r>
        <w:t xml:space="preserve"> </w:t>
      </w:r>
    </w:p>
    <w:p w14:paraId="3490F43A" w14:textId="77777777" w:rsidR="00C33A41" w:rsidRDefault="007B3952">
      <w:pPr>
        <w:spacing w:line="240" w:lineRule="auto"/>
        <w:ind w:left="709" w:hanging="709"/>
      </w:pPr>
      <w:r>
        <w:t xml:space="preserve">Vinuto, J., Barbosa, D., &amp; </w:t>
      </w:r>
      <w:proofErr w:type="gramStart"/>
      <w:r>
        <w:t>Hernández,  J.</w:t>
      </w:r>
      <w:proofErr w:type="gramEnd"/>
      <w:r>
        <w:t xml:space="preserve"> De G. (2021). Covid-19 no Sistema Socioeducativo do Rio de Janeiro: trabalho essencial e seus paradoxos na socioeducação. </w:t>
      </w:r>
      <w:r>
        <w:rPr>
          <w:i/>
        </w:rPr>
        <w:t xml:space="preserve">Política &amp; </w:t>
      </w:r>
      <w:proofErr w:type="gramStart"/>
      <w:r>
        <w:rPr>
          <w:i/>
        </w:rPr>
        <w:t>Sociedade ;</w:t>
      </w:r>
      <w:proofErr w:type="gramEnd"/>
      <w:r>
        <w:rPr>
          <w:i/>
        </w:rPr>
        <w:t xml:space="preserve"> 20(48), 198-229.</w:t>
      </w:r>
      <w:r>
        <w:t> </w:t>
      </w:r>
      <w:hyperlink r:id="rId134">
        <w:r>
          <w:t>https://doi.org/10.5007/2175-7984.2021.78764</w:t>
        </w:r>
      </w:hyperlink>
    </w:p>
    <w:p w14:paraId="37F637AD" w14:textId="77777777" w:rsidR="00C33A41" w:rsidRDefault="007B3952">
      <w:pPr>
        <w:spacing w:line="240" w:lineRule="auto"/>
        <w:ind w:left="709" w:hanging="709"/>
      </w:pPr>
      <w:r>
        <w:t xml:space="preserve">Werneck, G. L.; &amp; Carvalho, M. S. (2020). A pandemia de COVID-19 no Brasil: crônica de uma crise sanitária anunciada. </w:t>
      </w:r>
      <w:r>
        <w:rPr>
          <w:i/>
        </w:rPr>
        <w:t>Cad. Saúde Pública, 36</w:t>
      </w:r>
      <w:r>
        <w:t xml:space="preserve">(5), p. e00068820. </w:t>
      </w:r>
      <w:proofErr w:type="spellStart"/>
      <w:r>
        <w:t>doi</w:t>
      </w:r>
      <w:proofErr w:type="spellEnd"/>
      <w:r>
        <w:t>: 10.1590/0102-311X00068820</w:t>
      </w:r>
    </w:p>
    <w:p w14:paraId="7BC2C32F" w14:textId="77777777" w:rsidR="00C33A41" w:rsidRDefault="007B3952">
      <w:pPr>
        <w:spacing w:line="240" w:lineRule="auto"/>
        <w:ind w:left="709" w:hanging="709"/>
      </w:pPr>
      <w:r>
        <w:t xml:space="preserve">World Health Organization [WHO]. (2020). </w:t>
      </w:r>
      <w:r>
        <w:rPr>
          <w:i/>
        </w:rPr>
        <w:t xml:space="preserve">COVID-19 </w:t>
      </w:r>
      <w:proofErr w:type="spellStart"/>
      <w:r>
        <w:rPr>
          <w:i/>
        </w:rPr>
        <w:t>and</w:t>
      </w:r>
      <w:proofErr w:type="spellEnd"/>
      <w:r>
        <w:rPr>
          <w:i/>
        </w:rPr>
        <w:t xml:space="preserve"> </w:t>
      </w:r>
      <w:proofErr w:type="spellStart"/>
      <w:r>
        <w:rPr>
          <w:i/>
        </w:rPr>
        <w:t>violence</w:t>
      </w:r>
      <w:proofErr w:type="spellEnd"/>
      <w:r>
        <w:rPr>
          <w:i/>
        </w:rPr>
        <w:t xml:space="preserve"> </w:t>
      </w:r>
      <w:proofErr w:type="spellStart"/>
      <w:r>
        <w:rPr>
          <w:i/>
        </w:rPr>
        <w:t>against</w:t>
      </w:r>
      <w:proofErr w:type="spellEnd"/>
      <w:r>
        <w:rPr>
          <w:i/>
        </w:rPr>
        <w:t xml:space="preserve"> </w:t>
      </w:r>
      <w:proofErr w:type="spellStart"/>
      <w:r>
        <w:rPr>
          <w:i/>
        </w:rPr>
        <w:t>women</w:t>
      </w:r>
      <w:proofErr w:type="spellEnd"/>
      <w:r>
        <w:rPr>
          <w:i/>
        </w:rPr>
        <w:t xml:space="preserve">: </w:t>
      </w:r>
      <w:proofErr w:type="spellStart"/>
      <w:r>
        <w:rPr>
          <w:i/>
        </w:rPr>
        <w:t>what</w:t>
      </w:r>
      <w:proofErr w:type="spellEnd"/>
      <w:r>
        <w:rPr>
          <w:i/>
        </w:rPr>
        <w:t xml:space="preserve"> the </w:t>
      </w:r>
      <w:proofErr w:type="spellStart"/>
      <w:r>
        <w:rPr>
          <w:i/>
        </w:rPr>
        <w:t>health</w:t>
      </w:r>
      <w:proofErr w:type="spellEnd"/>
      <w:r>
        <w:rPr>
          <w:i/>
        </w:rPr>
        <w:t xml:space="preserve"> sector/system can do</w:t>
      </w:r>
      <w:r>
        <w:t xml:space="preserve">. Geneva: World Health Organization. Recuperado de: </w:t>
      </w:r>
      <w:hyperlink r:id="rId135">
        <w:r>
          <w:rPr>
            <w:color w:val="0563C1"/>
            <w:u w:val="single"/>
          </w:rPr>
          <w:t>https://apps.who.int/iris/bitstream/handle/10665/331699/WHO-SRH-20.04-eng.pdf?ua=1</w:t>
        </w:r>
      </w:hyperlink>
      <w:r>
        <w:t>. Acesso em: 17 fev. 2023.</w:t>
      </w:r>
    </w:p>
    <w:p w14:paraId="79C6CC05" w14:textId="77777777" w:rsidR="00C33A41" w:rsidRDefault="00C33A41">
      <w:pPr>
        <w:spacing w:line="240" w:lineRule="auto"/>
      </w:pPr>
    </w:p>
    <w:p w14:paraId="5A8DD5E0" w14:textId="77777777" w:rsidR="00C33A41" w:rsidRDefault="00C33A41">
      <w:pPr>
        <w:rPr>
          <w:b/>
        </w:rPr>
      </w:pPr>
    </w:p>
    <w:p w14:paraId="0E52C82C" w14:textId="77777777" w:rsidR="00C33A41" w:rsidRDefault="00C33A41">
      <w:pPr>
        <w:rPr>
          <w:b/>
        </w:rPr>
      </w:pPr>
    </w:p>
    <w:p w14:paraId="18D5F2A3" w14:textId="77777777" w:rsidR="00C33A41" w:rsidRDefault="00C33A41">
      <w:pPr>
        <w:rPr>
          <w:b/>
        </w:rPr>
      </w:pPr>
    </w:p>
    <w:p w14:paraId="62CA28F6" w14:textId="77777777" w:rsidR="00C33A41" w:rsidRDefault="00C33A41">
      <w:pPr>
        <w:rPr>
          <w:b/>
        </w:rPr>
      </w:pPr>
    </w:p>
    <w:p w14:paraId="009245BB" w14:textId="77777777" w:rsidR="00C33A41" w:rsidRDefault="00C33A41">
      <w:pPr>
        <w:rPr>
          <w:b/>
        </w:rPr>
      </w:pPr>
    </w:p>
    <w:p w14:paraId="0689BAAE" w14:textId="77777777" w:rsidR="00C33A41" w:rsidRDefault="00C33A41">
      <w:pPr>
        <w:rPr>
          <w:b/>
        </w:rPr>
      </w:pPr>
    </w:p>
    <w:p w14:paraId="6CCB4AF9" w14:textId="77777777" w:rsidR="00C33A41" w:rsidRDefault="00C33A41">
      <w:pPr>
        <w:rPr>
          <w:b/>
        </w:rPr>
      </w:pPr>
    </w:p>
    <w:p w14:paraId="4E082CC7" w14:textId="77777777" w:rsidR="00C33A41" w:rsidRDefault="00C33A41">
      <w:pPr>
        <w:rPr>
          <w:b/>
        </w:rPr>
      </w:pPr>
    </w:p>
    <w:p w14:paraId="2AAAA92F" w14:textId="77777777" w:rsidR="00C33A41" w:rsidRDefault="00C33A41">
      <w:pPr>
        <w:rPr>
          <w:b/>
        </w:rPr>
      </w:pPr>
    </w:p>
    <w:p w14:paraId="70293036" w14:textId="77777777" w:rsidR="00C33A41" w:rsidRDefault="00C33A41">
      <w:pPr>
        <w:rPr>
          <w:b/>
        </w:rPr>
      </w:pPr>
    </w:p>
    <w:p w14:paraId="772B7409" w14:textId="77777777" w:rsidR="00C33A41" w:rsidRDefault="007B3952">
      <w:pPr>
        <w:pStyle w:val="Ttulo1"/>
      </w:pPr>
      <w:bookmarkStart w:id="64" w:name="_heading=h.1x0gk37" w:colFirst="0" w:colLast="0"/>
      <w:bookmarkEnd w:id="64"/>
      <w:r>
        <w:t>ANEXOS</w:t>
      </w:r>
    </w:p>
    <w:p w14:paraId="590F772D" w14:textId="77777777" w:rsidR="00C33A41" w:rsidRDefault="007B3952">
      <w:pPr>
        <w:jc w:val="center"/>
        <w:rPr>
          <w:b/>
          <w:color w:val="000000"/>
        </w:rPr>
      </w:pPr>
      <w:r>
        <w:rPr>
          <w:b/>
        </w:rPr>
        <w:t xml:space="preserve">ANEXO A - </w:t>
      </w:r>
      <w:r>
        <w:rPr>
          <w:b/>
          <w:color w:val="000000"/>
        </w:rPr>
        <w:t xml:space="preserve">COMPROVANTE DE APROVAÇÃO DO </w:t>
      </w:r>
      <w:r>
        <w:rPr>
          <w:b/>
        </w:rPr>
        <w:t>COMITÊ</w:t>
      </w:r>
      <w:r>
        <w:rPr>
          <w:b/>
          <w:color w:val="000000"/>
        </w:rPr>
        <w:t xml:space="preserve"> DE ÉTICA</w:t>
      </w:r>
    </w:p>
    <w:p w14:paraId="415BE791" w14:textId="77777777" w:rsidR="00C33A41" w:rsidRDefault="007B3952">
      <w:pPr>
        <w:rPr>
          <w:b/>
        </w:rPr>
      </w:pPr>
      <w:r>
        <w:rPr>
          <w:noProof/>
        </w:rPr>
        <w:lastRenderedPageBreak/>
        <w:drawing>
          <wp:inline distT="0" distB="0" distL="0" distR="0" wp14:anchorId="63F052FC" wp14:editId="15AC7733">
            <wp:extent cx="5353050" cy="7753350"/>
            <wp:effectExtent l="0" t="0" r="0" b="0"/>
            <wp:docPr id="45"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6"/>
                    <a:srcRect/>
                    <a:stretch>
                      <a:fillRect/>
                    </a:stretch>
                  </pic:blipFill>
                  <pic:spPr>
                    <a:xfrm>
                      <a:off x="0" y="0"/>
                      <a:ext cx="5353050" cy="7753350"/>
                    </a:xfrm>
                    <a:prstGeom prst="rect">
                      <a:avLst/>
                    </a:prstGeom>
                    <a:ln/>
                  </pic:spPr>
                </pic:pic>
              </a:graphicData>
            </a:graphic>
          </wp:inline>
        </w:drawing>
      </w:r>
    </w:p>
    <w:p w14:paraId="7DCF86EE" w14:textId="77777777" w:rsidR="00C33A41" w:rsidRDefault="00C33A41">
      <w:pPr>
        <w:rPr>
          <w:b/>
        </w:rPr>
      </w:pPr>
    </w:p>
    <w:p w14:paraId="1D784FD3" w14:textId="77777777" w:rsidR="00C33A41" w:rsidRDefault="00C33A41">
      <w:pPr>
        <w:rPr>
          <w:b/>
        </w:rPr>
      </w:pPr>
    </w:p>
    <w:p w14:paraId="2B9B12C4" w14:textId="77777777" w:rsidR="00C33A41" w:rsidRDefault="007B3952">
      <w:pPr>
        <w:rPr>
          <w:b/>
        </w:rPr>
      </w:pPr>
      <w:r>
        <w:rPr>
          <w:noProof/>
        </w:rPr>
        <w:lastRenderedPageBreak/>
        <w:drawing>
          <wp:inline distT="0" distB="0" distL="0" distR="0" wp14:anchorId="1465975A" wp14:editId="186C1789">
            <wp:extent cx="5400040" cy="7940040"/>
            <wp:effectExtent l="0" t="0" r="0" b="0"/>
            <wp:docPr id="4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37"/>
                    <a:srcRect/>
                    <a:stretch>
                      <a:fillRect/>
                    </a:stretch>
                  </pic:blipFill>
                  <pic:spPr>
                    <a:xfrm>
                      <a:off x="0" y="0"/>
                      <a:ext cx="5400040" cy="7940040"/>
                    </a:xfrm>
                    <a:prstGeom prst="rect">
                      <a:avLst/>
                    </a:prstGeom>
                    <a:ln/>
                  </pic:spPr>
                </pic:pic>
              </a:graphicData>
            </a:graphic>
          </wp:inline>
        </w:drawing>
      </w:r>
    </w:p>
    <w:p w14:paraId="772BBD1F" w14:textId="77777777" w:rsidR="00C33A41" w:rsidRDefault="00C33A41">
      <w:pPr>
        <w:rPr>
          <w:b/>
        </w:rPr>
      </w:pPr>
    </w:p>
    <w:p w14:paraId="640338E2" w14:textId="77777777" w:rsidR="00C33A41" w:rsidRDefault="00C33A41">
      <w:pPr>
        <w:rPr>
          <w:b/>
        </w:rPr>
      </w:pPr>
    </w:p>
    <w:p w14:paraId="6AAA2239" w14:textId="77777777" w:rsidR="00C33A41" w:rsidRDefault="00C33A41">
      <w:pPr>
        <w:rPr>
          <w:b/>
        </w:rPr>
      </w:pPr>
    </w:p>
    <w:p w14:paraId="1BEFC2AB" w14:textId="77777777" w:rsidR="00C33A41" w:rsidRDefault="007B3952">
      <w:pPr>
        <w:rPr>
          <w:b/>
        </w:rPr>
      </w:pPr>
      <w:r>
        <w:rPr>
          <w:noProof/>
        </w:rPr>
        <w:drawing>
          <wp:inline distT="0" distB="0" distL="0" distR="0" wp14:anchorId="05CFB352" wp14:editId="0C1F0E62">
            <wp:extent cx="5400040" cy="7792720"/>
            <wp:effectExtent l="0" t="0" r="0" b="0"/>
            <wp:docPr id="4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8"/>
                    <a:srcRect/>
                    <a:stretch>
                      <a:fillRect/>
                    </a:stretch>
                  </pic:blipFill>
                  <pic:spPr>
                    <a:xfrm>
                      <a:off x="0" y="0"/>
                      <a:ext cx="5400040" cy="7792720"/>
                    </a:xfrm>
                    <a:prstGeom prst="rect">
                      <a:avLst/>
                    </a:prstGeom>
                    <a:ln/>
                  </pic:spPr>
                </pic:pic>
              </a:graphicData>
            </a:graphic>
          </wp:inline>
        </w:drawing>
      </w:r>
    </w:p>
    <w:p w14:paraId="580BEB6B" w14:textId="77777777" w:rsidR="00C33A41" w:rsidRDefault="00C33A41">
      <w:pPr>
        <w:rPr>
          <w:b/>
        </w:rPr>
      </w:pPr>
    </w:p>
    <w:p w14:paraId="5C5344C8" w14:textId="77777777" w:rsidR="00C33A41" w:rsidRDefault="007B3952">
      <w:pPr>
        <w:rPr>
          <w:b/>
        </w:rPr>
      </w:pPr>
      <w:r>
        <w:rPr>
          <w:noProof/>
        </w:rPr>
        <w:lastRenderedPageBreak/>
        <w:drawing>
          <wp:inline distT="0" distB="0" distL="0" distR="0" wp14:anchorId="1E7784EB" wp14:editId="6A32F180">
            <wp:extent cx="5400040" cy="7957185"/>
            <wp:effectExtent l="0" t="0" r="0" b="0"/>
            <wp:docPr id="5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9"/>
                    <a:srcRect/>
                    <a:stretch>
                      <a:fillRect/>
                    </a:stretch>
                  </pic:blipFill>
                  <pic:spPr>
                    <a:xfrm>
                      <a:off x="0" y="0"/>
                      <a:ext cx="5400040" cy="7957185"/>
                    </a:xfrm>
                    <a:prstGeom prst="rect">
                      <a:avLst/>
                    </a:prstGeom>
                    <a:ln/>
                  </pic:spPr>
                </pic:pic>
              </a:graphicData>
            </a:graphic>
          </wp:inline>
        </w:drawing>
      </w:r>
    </w:p>
    <w:p w14:paraId="01828F7E" w14:textId="77777777" w:rsidR="00C33A41" w:rsidRDefault="00C33A41">
      <w:pPr>
        <w:rPr>
          <w:b/>
        </w:rPr>
      </w:pPr>
    </w:p>
    <w:p w14:paraId="08C7784B" w14:textId="77777777" w:rsidR="00C33A41" w:rsidRDefault="00C33A41">
      <w:pPr>
        <w:rPr>
          <w:b/>
        </w:rPr>
      </w:pPr>
    </w:p>
    <w:p w14:paraId="675E8C78" w14:textId="77777777" w:rsidR="00C33A41" w:rsidRDefault="00C33A41">
      <w:pPr>
        <w:rPr>
          <w:b/>
        </w:rPr>
      </w:pPr>
    </w:p>
    <w:p w14:paraId="313FB7EA" w14:textId="77777777" w:rsidR="00C33A41" w:rsidRDefault="007B3952">
      <w:pPr>
        <w:rPr>
          <w:b/>
        </w:rPr>
      </w:pPr>
      <w:r>
        <w:rPr>
          <w:noProof/>
        </w:rPr>
        <w:drawing>
          <wp:inline distT="0" distB="0" distL="0" distR="0" wp14:anchorId="3F67BC4D" wp14:editId="09AFB908">
            <wp:extent cx="5400040" cy="7676515"/>
            <wp:effectExtent l="0" t="0" r="0" b="0"/>
            <wp:docPr id="4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0"/>
                    <a:srcRect/>
                    <a:stretch>
                      <a:fillRect/>
                    </a:stretch>
                  </pic:blipFill>
                  <pic:spPr>
                    <a:xfrm>
                      <a:off x="0" y="0"/>
                      <a:ext cx="5400040" cy="7676515"/>
                    </a:xfrm>
                    <a:prstGeom prst="rect">
                      <a:avLst/>
                    </a:prstGeom>
                    <a:ln/>
                  </pic:spPr>
                </pic:pic>
              </a:graphicData>
            </a:graphic>
          </wp:inline>
        </w:drawing>
      </w:r>
    </w:p>
    <w:p w14:paraId="747F65D8" w14:textId="77777777" w:rsidR="00C33A41" w:rsidRDefault="00C33A41">
      <w:pPr>
        <w:rPr>
          <w:b/>
        </w:rPr>
      </w:pPr>
    </w:p>
    <w:p w14:paraId="56730781" w14:textId="77777777" w:rsidR="00C33A41" w:rsidRDefault="00C33A41">
      <w:pPr>
        <w:rPr>
          <w:b/>
        </w:rPr>
      </w:pPr>
    </w:p>
    <w:p w14:paraId="15F3B941" w14:textId="77777777" w:rsidR="00C33A41" w:rsidRDefault="00C33A41">
      <w:pPr>
        <w:rPr>
          <w:b/>
        </w:rPr>
      </w:pPr>
    </w:p>
    <w:p w14:paraId="4216C0D7" w14:textId="77777777" w:rsidR="00C33A41" w:rsidRDefault="00C33A41">
      <w:pPr>
        <w:rPr>
          <w:b/>
        </w:rPr>
      </w:pPr>
    </w:p>
    <w:p w14:paraId="7DF0C3DB" w14:textId="77777777" w:rsidR="00C33A41" w:rsidRDefault="007B3952">
      <w:pPr>
        <w:rPr>
          <w:b/>
        </w:rPr>
      </w:pPr>
      <w:r>
        <w:rPr>
          <w:noProof/>
        </w:rPr>
        <w:drawing>
          <wp:inline distT="0" distB="0" distL="0" distR="0" wp14:anchorId="355A2054" wp14:editId="5D9707BD">
            <wp:extent cx="5400040" cy="7614285"/>
            <wp:effectExtent l="0" t="0" r="0" b="0"/>
            <wp:docPr id="4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1"/>
                    <a:srcRect/>
                    <a:stretch>
                      <a:fillRect/>
                    </a:stretch>
                  </pic:blipFill>
                  <pic:spPr>
                    <a:xfrm>
                      <a:off x="0" y="0"/>
                      <a:ext cx="5400040" cy="7614285"/>
                    </a:xfrm>
                    <a:prstGeom prst="rect">
                      <a:avLst/>
                    </a:prstGeom>
                    <a:ln/>
                  </pic:spPr>
                </pic:pic>
              </a:graphicData>
            </a:graphic>
          </wp:inline>
        </w:drawing>
      </w:r>
    </w:p>
    <w:p w14:paraId="18969AE7" w14:textId="77777777" w:rsidR="00C33A41" w:rsidRDefault="007B3952">
      <w:pPr>
        <w:jc w:val="center"/>
        <w:rPr>
          <w:color w:val="000000"/>
        </w:rPr>
      </w:pPr>
      <w:r>
        <w:rPr>
          <w:b/>
        </w:rPr>
        <w:t xml:space="preserve">ANEXO B - </w:t>
      </w:r>
      <w:r>
        <w:rPr>
          <w:b/>
          <w:color w:val="222222"/>
        </w:rPr>
        <w:t>TERMO DE ASSENTIMENTO LIVRE E ESCLARECIDO</w:t>
      </w:r>
    </w:p>
    <w:p w14:paraId="64C14A6F" w14:textId="77777777" w:rsidR="00C33A41" w:rsidRDefault="00C33A41">
      <w:pPr>
        <w:jc w:val="center"/>
        <w:rPr>
          <w:b/>
        </w:rPr>
      </w:pPr>
    </w:p>
    <w:p w14:paraId="66517F34" w14:textId="77777777" w:rsidR="00C33A41" w:rsidRDefault="007B3952">
      <w:pPr>
        <w:pBdr>
          <w:top w:val="nil"/>
          <w:left w:val="nil"/>
          <w:bottom w:val="nil"/>
          <w:right w:val="nil"/>
          <w:between w:val="nil"/>
        </w:pBdr>
        <w:spacing w:line="360" w:lineRule="auto"/>
        <w:jc w:val="center"/>
        <w:rPr>
          <w:b/>
          <w:color w:val="000000"/>
        </w:rPr>
      </w:pPr>
      <w:r>
        <w:rPr>
          <w:b/>
          <w:color w:val="000000"/>
        </w:rPr>
        <w:t>UNIVERSIDADE FEDERAL DE SÃO CARLOS</w:t>
      </w:r>
    </w:p>
    <w:p w14:paraId="5F89E9E5" w14:textId="77777777" w:rsidR="00C33A41" w:rsidRDefault="007B3952">
      <w:pPr>
        <w:pBdr>
          <w:top w:val="nil"/>
          <w:left w:val="nil"/>
          <w:bottom w:val="nil"/>
          <w:right w:val="nil"/>
          <w:between w:val="nil"/>
        </w:pBdr>
        <w:spacing w:line="360" w:lineRule="auto"/>
        <w:ind w:firstLine="562"/>
        <w:jc w:val="center"/>
        <w:rPr>
          <w:b/>
          <w:color w:val="000000"/>
        </w:rPr>
      </w:pPr>
      <w:bookmarkStart w:id="65" w:name="_heading=h.ihv636" w:colFirst="0" w:colLast="0"/>
      <w:bookmarkEnd w:id="65"/>
      <w:r>
        <w:rPr>
          <w:b/>
          <w:color w:val="000000"/>
        </w:rPr>
        <w:t xml:space="preserve">DEPARTAMENTO DE PSICOLOGIA </w:t>
      </w:r>
    </w:p>
    <w:p w14:paraId="48DEE7A2" w14:textId="77777777" w:rsidR="00C33A41" w:rsidRDefault="00C33A41">
      <w:pPr>
        <w:pBdr>
          <w:top w:val="nil"/>
          <w:left w:val="nil"/>
          <w:bottom w:val="nil"/>
          <w:right w:val="nil"/>
          <w:between w:val="nil"/>
        </w:pBdr>
        <w:spacing w:line="360" w:lineRule="auto"/>
        <w:ind w:firstLine="562"/>
        <w:jc w:val="center"/>
        <w:rPr>
          <w:b/>
          <w:color w:val="000000"/>
          <w:sz w:val="22"/>
          <w:szCs w:val="22"/>
        </w:rPr>
      </w:pPr>
    </w:p>
    <w:p w14:paraId="2A690BD8" w14:textId="77777777" w:rsidR="00C33A41" w:rsidRDefault="007B3952">
      <w:pPr>
        <w:pBdr>
          <w:top w:val="nil"/>
          <w:left w:val="nil"/>
          <w:bottom w:val="nil"/>
          <w:right w:val="nil"/>
          <w:between w:val="nil"/>
        </w:pBdr>
        <w:spacing w:line="360" w:lineRule="auto"/>
        <w:ind w:firstLine="708"/>
        <w:jc w:val="center"/>
        <w:rPr>
          <w:color w:val="000000"/>
          <w:u w:val="single"/>
        </w:rPr>
      </w:pPr>
      <w:r>
        <w:rPr>
          <w:color w:val="000000"/>
          <w:u w:val="single"/>
        </w:rPr>
        <w:t>TERMO DE ASSENTIMENTO LIVRE E ESCLARECIDO</w:t>
      </w:r>
    </w:p>
    <w:p w14:paraId="1AF816B7" w14:textId="77777777" w:rsidR="00C33A41" w:rsidRDefault="007B3952">
      <w:pPr>
        <w:pBdr>
          <w:top w:val="nil"/>
          <w:left w:val="nil"/>
          <w:bottom w:val="nil"/>
          <w:right w:val="nil"/>
          <w:between w:val="nil"/>
        </w:pBdr>
        <w:spacing w:line="360" w:lineRule="auto"/>
        <w:ind w:firstLine="708"/>
        <w:jc w:val="center"/>
        <w:rPr>
          <w:b/>
          <w:color w:val="000000"/>
        </w:rPr>
      </w:pPr>
      <w:r>
        <w:rPr>
          <w:b/>
          <w:color w:val="000000"/>
        </w:rPr>
        <w:t>(Resoluções 466/2012 e 510/2016 do CNS)</w:t>
      </w:r>
    </w:p>
    <w:p w14:paraId="3A8C3BA1" w14:textId="77777777" w:rsidR="00C33A41" w:rsidRDefault="00C33A41">
      <w:pPr>
        <w:pBdr>
          <w:top w:val="nil"/>
          <w:left w:val="nil"/>
          <w:bottom w:val="nil"/>
          <w:right w:val="nil"/>
          <w:between w:val="nil"/>
        </w:pBdr>
        <w:spacing w:line="360" w:lineRule="auto"/>
        <w:ind w:firstLine="708"/>
        <w:jc w:val="center"/>
        <w:rPr>
          <w:b/>
          <w:color w:val="000000"/>
        </w:rPr>
      </w:pPr>
    </w:p>
    <w:p w14:paraId="30D85E77" w14:textId="77777777" w:rsidR="00C33A41" w:rsidRDefault="007B3952">
      <w:pPr>
        <w:spacing w:line="360" w:lineRule="auto"/>
        <w:jc w:val="center"/>
        <w:rPr>
          <w:b/>
        </w:rPr>
      </w:pPr>
      <w:r>
        <w:rPr>
          <w:b/>
        </w:rPr>
        <w:t>Impactos da pandemia COVID-19 no cotidiano de adolescentes brasileiros em situação de vulnerabilidade social</w:t>
      </w:r>
    </w:p>
    <w:p w14:paraId="77ACBFF0" w14:textId="77777777" w:rsidR="00C33A41" w:rsidRDefault="00C33A41">
      <w:pPr>
        <w:spacing w:line="360" w:lineRule="auto"/>
        <w:jc w:val="center"/>
        <w:rPr>
          <w:b/>
        </w:rPr>
      </w:pPr>
    </w:p>
    <w:p w14:paraId="394C49AE" w14:textId="77777777" w:rsidR="00C33A41" w:rsidRDefault="007B3952">
      <w:pPr>
        <w:spacing w:line="360" w:lineRule="auto"/>
        <w:rPr>
          <w:b/>
        </w:rPr>
      </w:pPr>
      <w:r>
        <w:tab/>
        <w:t xml:space="preserve">Você está sendo convidado(a) a participar da pesquisa “Impactos da pandemia COVID-19 no cotidiano de adolescentes brasileiros em situação de vulnerabilidade social” realizada pela pesquisadora </w:t>
      </w:r>
      <w:r>
        <w:rPr>
          <w:b/>
        </w:rPr>
        <w:t>Bárbara Cristina Soares Sena</w:t>
      </w:r>
      <w:r>
        <w:t xml:space="preserve">, estudante de doutorado em Psicologia na Universidade Federal de São Carlos, sob orientação do </w:t>
      </w:r>
      <w:r>
        <w:rPr>
          <w:b/>
        </w:rPr>
        <w:t>Prof. Dr. Alex Sandro Gomes Pessoa</w:t>
      </w:r>
      <w:r>
        <w:t>.</w:t>
      </w:r>
    </w:p>
    <w:p w14:paraId="3EB37CD7" w14:textId="77777777" w:rsidR="00C33A41" w:rsidRDefault="007B3952">
      <w:pPr>
        <w:spacing w:line="360" w:lineRule="auto"/>
      </w:pPr>
      <w:r>
        <w:tab/>
        <w:t xml:space="preserve">Queremos conversar um pouco com você para saber quais tem sido </w:t>
      </w:r>
      <w:r>
        <w:rPr>
          <w:highlight w:val="white"/>
        </w:rPr>
        <w:t>os impactos das experiências da pandemia</w:t>
      </w:r>
      <w:r>
        <w:t xml:space="preserve"> do Covid-19 no seu cotidiano. Gostaríamos de saber quais são os seus </w:t>
      </w:r>
      <w:r>
        <w:rPr>
          <w:highlight w:val="white"/>
        </w:rPr>
        <w:t>conhecimentos sobre a COVID, as orientações que tem recebido e os indicadores de contaminação</w:t>
      </w:r>
      <w:r>
        <w:t xml:space="preserve"> de pessoas próximas a você. Além disso, também queremos conhecer sua rede de apoio afetiva e social, ou seja, quem são as pessoas ou os lugares (por exemplo: família, amigos, escola, comunidade, entre outros) que tem te auxiliado durante a pandemia. E, por fim, gostaríamos de saber quais são as estratégias que tem usado para lidar com situações difíceis que tem enfrentado durante a pandemia e quais são as suas expectativas em relação ao futuro, no período pós-pandemia.</w:t>
      </w:r>
    </w:p>
    <w:p w14:paraId="06C91BC6" w14:textId="77777777" w:rsidR="00C33A41" w:rsidRDefault="007B3952">
      <w:pPr>
        <w:spacing w:line="360" w:lineRule="auto"/>
      </w:pPr>
      <w:r>
        <w:tab/>
        <w:t xml:space="preserve">A pesquisa será realizada em um único encontro e pode ocorrer presencialmente ou online, com data e horário que podemos combinar juntos. A entrevista será gravada e, posteriormente, transcrita na íntegra. Solicito, então, sua autorização para gravar a nossa conversa em aparelho digital, a fim de auxiliar a pesquisadora na análise das informações levantadas. Para participar das atividades, o seu responsável precisa consentir e autorizar assinando um termo (de Consentimento) parecido com este. Durante a pesquisa você não vai precisar pagar nada, assim como também não receberá nada pela participação, ou seja, sua participação é voluntária. Você participa se quiser e, o fato de não querer participar, não levará a qualquer castigo ou modificação na forma com que será atendido. Você pode </w:t>
      </w:r>
      <w:r>
        <w:lastRenderedPageBreak/>
        <w:t xml:space="preserve">fazer qualquer pergunta se tiver alguma dúvida sobre sua participação, a qualquer hora, que será respondida. </w:t>
      </w:r>
    </w:p>
    <w:p w14:paraId="6C3B4255" w14:textId="77777777" w:rsidR="00C33A41" w:rsidRDefault="007B3952">
      <w:pPr>
        <w:spacing w:line="360" w:lineRule="auto"/>
      </w:pPr>
      <w:r>
        <w:tab/>
        <w:t xml:space="preserve">Sua participação nesta pesquisa não apresenta risco nenhum para você, mas caso alguma pergunta ou atividade te deixe desconfortável, ansioso, triste ou desencadeie alguma lembrança desagradável nós vamos interromper a conversa até que você se sinta bem e queira voltar a falar. Não esqueça, caso sinta algo desagradável pode falar comigo, com algum profissional da instituição ou com seus responsáveis. Se você tiver dúvidas ou quiser falar sobre qualquer coisa que aconteceu durante ou após a sua participação, você pode pedir para me ligarem caso eu não esteja com você no momento. Queremos que você se sinta confortável e seguro durante a pesquisa. Além disso, gostaríamos de deixar claro que nem você e nem os seus responsáveis terão qualquer tipo de gasto ou despesa com a participação na pesquisa. Da mesma forma, nada será pago por sua participação, portanto, todo envolvimento ocorrerá de forma voluntária. </w:t>
      </w:r>
    </w:p>
    <w:p w14:paraId="386CBB0E" w14:textId="77777777" w:rsidR="00C33A41" w:rsidRDefault="007B3952">
      <w:pPr>
        <w:spacing w:line="360" w:lineRule="auto"/>
      </w:pPr>
      <w:r>
        <w:tab/>
        <w:t xml:space="preserve">É importante também que você saiba que seu nome será mantido em segredo, portanto, somente os pesquisadores, seus responsáveis e os profissionais da instituição saberão da sua participação. Você não será identificado em nenhuma publicação e tudo o que me falar ficará entre nós. Caso queira conversar comigo novamente, peça para seus responsáveis ligarem no telefone informado no termo que eles assinaram. E relembrando… você pode escolher se vai participar ou não da pesquisa. Você tem a opção de não participar ou desistir depois sem nenhum problema. E você apenas poderá participar se seus pais tiverem autorizado e eles também podem interromper sua participação. Além disso, você poderá saber os resultados da pesquisa, se quiser, quando ela acabar. </w:t>
      </w:r>
    </w:p>
    <w:p w14:paraId="3E50CB72" w14:textId="77777777" w:rsidR="00C33A41" w:rsidRDefault="007B3952">
      <w:pPr>
        <w:spacing w:line="360" w:lineRule="auto"/>
      </w:pPr>
      <w:r>
        <w:tab/>
        <w:t xml:space="preserve">Se você entendeu tudo o que conversamos, não tem nenhuma dúvida e quiser participar da pesquisa, vou pedir para que você assine seu nome logo abaixo </w:t>
      </w:r>
    </w:p>
    <w:p w14:paraId="3C99B991" w14:textId="77777777" w:rsidR="00C33A41" w:rsidRDefault="007B3952">
      <w:pPr>
        <w:spacing w:line="360" w:lineRule="auto"/>
      </w:pPr>
      <w:r>
        <w:tab/>
      </w:r>
    </w:p>
    <w:p w14:paraId="7070D1C1" w14:textId="77777777" w:rsidR="00C33A41" w:rsidRDefault="007B3952">
      <w:pPr>
        <w:spacing w:line="360" w:lineRule="auto"/>
        <w:ind w:firstLine="708"/>
      </w:pPr>
      <w:r>
        <w:t>Eu, _______________________________________________________, fui informado(a) dos objetivos desta pesquisa de maneira clara e detalhada, esclareci minhas dúvidas e aceito participar da pesquisa. Sei que a qualquer momento</w:t>
      </w:r>
      <w:r>
        <w:br/>
        <w:t xml:space="preserve">poderei fazer novas perguntas, e o meu responsável poderá mudar a decisão de eu participar se assim desejar. Entendi as coisas boas e ruins que podem acontecer durante a pesquisa, e no caso de algo desagradável ocorrer poderei informar isso a pesquisadora ou meus responsáveis. Também compreendi que posso aceitar participar dizendo “sim”, </w:t>
      </w:r>
      <w:r>
        <w:lastRenderedPageBreak/>
        <w:t>porém a qualquer momento posso escolher não participar mais da pesquisa sem problema algum.</w:t>
      </w:r>
    </w:p>
    <w:p w14:paraId="332BD066" w14:textId="77777777" w:rsidR="00C33A41" w:rsidRDefault="007B3952">
      <w:pPr>
        <w:spacing w:line="360" w:lineRule="auto"/>
        <w:ind w:firstLine="708"/>
      </w:pPr>
      <w:r>
        <w:t xml:space="preserve">Tendo a autorização do </w:t>
      </w:r>
      <w:proofErr w:type="gramStart"/>
      <w:r>
        <w:t>meu responsável já assinada</w:t>
      </w:r>
      <w:proofErr w:type="gramEnd"/>
      <w:r>
        <w:t xml:space="preserve">, declaro que concordo em participar dessa pesquisa. Recebi uma cópia deste termo e me foi dada a chance de ler e esclarecer as minhas dúvidas. </w:t>
      </w:r>
    </w:p>
    <w:p w14:paraId="32E6B97D" w14:textId="77777777" w:rsidR="00C33A41" w:rsidRDefault="007B3952">
      <w:pPr>
        <w:pBdr>
          <w:top w:val="nil"/>
          <w:left w:val="nil"/>
          <w:bottom w:val="nil"/>
          <w:right w:val="nil"/>
          <w:between w:val="nil"/>
        </w:pBdr>
        <w:spacing w:line="360" w:lineRule="auto"/>
        <w:jc w:val="right"/>
        <w:rPr>
          <w:color w:val="000000"/>
        </w:rPr>
      </w:pPr>
      <w:r>
        <w:rPr>
          <w:color w:val="000000"/>
        </w:rPr>
        <w:t>São Carlos, ______ de ____________________ de 2022.</w:t>
      </w:r>
    </w:p>
    <w:p w14:paraId="5866C17B" w14:textId="77777777" w:rsidR="00C33A41" w:rsidRDefault="00C33A41">
      <w:pPr>
        <w:pBdr>
          <w:top w:val="nil"/>
          <w:left w:val="nil"/>
          <w:bottom w:val="nil"/>
          <w:right w:val="nil"/>
          <w:between w:val="nil"/>
        </w:pBdr>
        <w:spacing w:line="360" w:lineRule="auto"/>
        <w:jc w:val="left"/>
        <w:rPr>
          <w:color w:val="000000"/>
        </w:rPr>
      </w:pPr>
    </w:p>
    <w:p w14:paraId="79197A0D" w14:textId="77777777" w:rsidR="00C33A41" w:rsidRDefault="00C33A41">
      <w:pPr>
        <w:pBdr>
          <w:top w:val="nil"/>
          <w:left w:val="nil"/>
          <w:bottom w:val="nil"/>
          <w:right w:val="nil"/>
          <w:between w:val="nil"/>
        </w:pBdr>
        <w:spacing w:line="360" w:lineRule="auto"/>
        <w:jc w:val="left"/>
        <w:rPr>
          <w:color w:val="000000"/>
        </w:rPr>
      </w:pPr>
    </w:p>
    <w:p w14:paraId="616C33EA" w14:textId="77777777" w:rsidR="00C33A41" w:rsidRDefault="007B3952">
      <w:pPr>
        <w:spacing w:line="360" w:lineRule="auto"/>
        <w:ind w:firstLine="708"/>
        <w:jc w:val="center"/>
      </w:pPr>
      <w:r>
        <w:t>_____________________________________</w:t>
      </w:r>
    </w:p>
    <w:p w14:paraId="0F108721" w14:textId="77777777" w:rsidR="00C33A41" w:rsidRDefault="007B3952">
      <w:pPr>
        <w:spacing w:line="360" w:lineRule="auto"/>
        <w:ind w:firstLine="708"/>
        <w:jc w:val="center"/>
      </w:pPr>
      <w:r>
        <w:t>Assinatura do menor</w:t>
      </w:r>
    </w:p>
    <w:p w14:paraId="081CBEC7" w14:textId="77777777" w:rsidR="00C33A41" w:rsidRDefault="00C33A41">
      <w:pPr>
        <w:spacing w:line="360" w:lineRule="auto"/>
        <w:ind w:firstLine="708"/>
        <w:jc w:val="center"/>
      </w:pPr>
    </w:p>
    <w:p w14:paraId="51CF9E33" w14:textId="77777777" w:rsidR="00C33A41" w:rsidRDefault="00C33A41">
      <w:pPr>
        <w:spacing w:line="360" w:lineRule="auto"/>
        <w:ind w:firstLine="708"/>
        <w:jc w:val="center"/>
      </w:pPr>
    </w:p>
    <w:p w14:paraId="24F4F66D" w14:textId="77777777" w:rsidR="00C33A41" w:rsidRDefault="007B3952">
      <w:pPr>
        <w:spacing w:line="360" w:lineRule="auto"/>
        <w:ind w:firstLine="708"/>
        <w:jc w:val="center"/>
      </w:pPr>
      <w:r>
        <w:t>______________________________________</w:t>
      </w:r>
    </w:p>
    <w:p w14:paraId="649E7CA7" w14:textId="77777777" w:rsidR="00C33A41" w:rsidRDefault="007B3952">
      <w:pPr>
        <w:spacing w:line="360" w:lineRule="auto"/>
        <w:ind w:firstLine="708"/>
        <w:jc w:val="center"/>
      </w:pPr>
      <w:r>
        <w:t>Assinatura do pesquisador</w:t>
      </w:r>
    </w:p>
    <w:p w14:paraId="2F20F054" w14:textId="77777777" w:rsidR="00C33A41" w:rsidRDefault="00C33A41">
      <w:pPr>
        <w:spacing w:line="360" w:lineRule="auto"/>
        <w:ind w:firstLine="708"/>
        <w:jc w:val="center"/>
      </w:pPr>
    </w:p>
    <w:p w14:paraId="1DB0A24E" w14:textId="77777777" w:rsidR="00C33A41" w:rsidRDefault="00C33A41">
      <w:pPr>
        <w:spacing w:line="360" w:lineRule="auto"/>
      </w:pPr>
    </w:p>
    <w:p w14:paraId="1C4F515F" w14:textId="77777777" w:rsidR="00C33A41" w:rsidRDefault="007B3952">
      <w:pPr>
        <w:spacing w:line="360" w:lineRule="auto"/>
        <w:rPr>
          <w:b/>
        </w:rPr>
      </w:pPr>
      <w:r>
        <w:rPr>
          <w:b/>
        </w:rPr>
        <w:t>Pesquisadora: Bárbara Cristina Soares Sena</w:t>
      </w:r>
    </w:p>
    <w:p w14:paraId="29F1647B" w14:textId="77777777" w:rsidR="00C33A41" w:rsidRDefault="007B3952">
      <w:pPr>
        <w:spacing w:line="360" w:lineRule="auto"/>
      </w:pPr>
      <w:r>
        <w:rPr>
          <w:b/>
        </w:rPr>
        <w:t>Orientador: Prof. Dr. Alex Sandro Gomes Pessoa</w:t>
      </w:r>
    </w:p>
    <w:p w14:paraId="2CA89AA7" w14:textId="77777777" w:rsidR="00C33A41" w:rsidRDefault="007B3952">
      <w:pPr>
        <w:spacing w:line="360" w:lineRule="auto"/>
        <w:rPr>
          <w:b/>
        </w:rPr>
      </w:pPr>
      <w:r>
        <w:rPr>
          <w:b/>
        </w:rPr>
        <w:t xml:space="preserve">Telefone para contato: (18) 98181-6294 </w:t>
      </w:r>
    </w:p>
    <w:p w14:paraId="5B41B595" w14:textId="77777777" w:rsidR="00C33A41" w:rsidRDefault="007B3952">
      <w:pPr>
        <w:spacing w:line="360" w:lineRule="auto"/>
      </w:pPr>
      <w:r>
        <w:t xml:space="preserve"> </w:t>
      </w:r>
    </w:p>
    <w:p w14:paraId="02E008D2" w14:textId="77777777" w:rsidR="00C33A41" w:rsidRDefault="00C33A41">
      <w:pPr>
        <w:jc w:val="center"/>
        <w:rPr>
          <w:b/>
        </w:rPr>
      </w:pPr>
    </w:p>
    <w:p w14:paraId="67BF2525" w14:textId="77777777" w:rsidR="00C33A41" w:rsidRDefault="00C33A41">
      <w:pPr>
        <w:jc w:val="center"/>
        <w:rPr>
          <w:b/>
        </w:rPr>
      </w:pPr>
    </w:p>
    <w:p w14:paraId="2B00F9E0" w14:textId="77777777" w:rsidR="00C33A41" w:rsidRDefault="00C33A41">
      <w:pPr>
        <w:jc w:val="center"/>
        <w:rPr>
          <w:b/>
        </w:rPr>
      </w:pPr>
    </w:p>
    <w:p w14:paraId="5F7ED366" w14:textId="77777777" w:rsidR="00C33A41" w:rsidRDefault="00C33A41">
      <w:pPr>
        <w:jc w:val="center"/>
        <w:rPr>
          <w:b/>
        </w:rPr>
      </w:pPr>
    </w:p>
    <w:p w14:paraId="1F80E5C5" w14:textId="77777777" w:rsidR="00C33A41" w:rsidRDefault="00C33A41">
      <w:pPr>
        <w:jc w:val="center"/>
        <w:rPr>
          <w:b/>
        </w:rPr>
      </w:pPr>
    </w:p>
    <w:p w14:paraId="2EFB77C1" w14:textId="77777777" w:rsidR="00C33A41" w:rsidRDefault="00C33A41">
      <w:pPr>
        <w:rPr>
          <w:b/>
        </w:rPr>
      </w:pPr>
    </w:p>
    <w:p w14:paraId="002E0201" w14:textId="77777777" w:rsidR="00C33A41" w:rsidRDefault="00C33A41">
      <w:pPr>
        <w:jc w:val="center"/>
        <w:rPr>
          <w:b/>
        </w:rPr>
      </w:pPr>
    </w:p>
    <w:p w14:paraId="000FA082" w14:textId="77777777" w:rsidR="00C33A41" w:rsidRDefault="00C33A41">
      <w:pPr>
        <w:jc w:val="center"/>
        <w:rPr>
          <w:b/>
        </w:rPr>
      </w:pPr>
    </w:p>
    <w:p w14:paraId="728D3AEC" w14:textId="77777777" w:rsidR="00C33A41" w:rsidRDefault="00C33A41">
      <w:pPr>
        <w:jc w:val="center"/>
        <w:rPr>
          <w:b/>
        </w:rPr>
      </w:pPr>
    </w:p>
    <w:p w14:paraId="2F1A5194" w14:textId="77777777" w:rsidR="00C33A41" w:rsidRDefault="00C33A41">
      <w:pPr>
        <w:jc w:val="center"/>
        <w:rPr>
          <w:b/>
        </w:rPr>
      </w:pPr>
    </w:p>
    <w:p w14:paraId="1FB876DB" w14:textId="77777777" w:rsidR="00C33A41" w:rsidRDefault="007B3952">
      <w:pPr>
        <w:jc w:val="center"/>
        <w:rPr>
          <w:b/>
        </w:rPr>
      </w:pPr>
      <w:r>
        <w:rPr>
          <w:b/>
        </w:rPr>
        <w:lastRenderedPageBreak/>
        <w:t>ANEXO C - QUESTIONÁRIO DE CARACTERIZAÇÃO</w:t>
      </w:r>
    </w:p>
    <w:p w14:paraId="02B46C1B" w14:textId="77777777" w:rsidR="00C33A41" w:rsidRDefault="00C33A41">
      <w:pPr>
        <w:jc w:val="center"/>
        <w:rPr>
          <w:b/>
        </w:rPr>
      </w:pPr>
    </w:p>
    <w:p w14:paraId="5EA3F24B" w14:textId="77777777" w:rsidR="00C33A41" w:rsidRDefault="007B3952">
      <w:pPr>
        <w:numPr>
          <w:ilvl w:val="0"/>
          <w:numId w:val="12"/>
        </w:numPr>
        <w:pBdr>
          <w:top w:val="nil"/>
          <w:left w:val="nil"/>
          <w:bottom w:val="nil"/>
          <w:right w:val="nil"/>
          <w:between w:val="nil"/>
        </w:pBdr>
        <w:spacing w:line="360" w:lineRule="auto"/>
        <w:rPr>
          <w:b/>
          <w:color w:val="000000"/>
        </w:rPr>
      </w:pPr>
      <w:r>
        <w:rPr>
          <w:b/>
          <w:color w:val="000000"/>
        </w:rPr>
        <w:t>Dados sociodemográficos</w:t>
      </w:r>
    </w:p>
    <w:p w14:paraId="529300B6" w14:textId="77777777" w:rsidR="00C33A41" w:rsidRDefault="00C33A41">
      <w:pPr>
        <w:pBdr>
          <w:top w:val="nil"/>
          <w:left w:val="nil"/>
          <w:bottom w:val="nil"/>
          <w:right w:val="nil"/>
          <w:between w:val="nil"/>
        </w:pBdr>
        <w:spacing w:line="360" w:lineRule="auto"/>
        <w:ind w:left="720"/>
        <w:rPr>
          <w:b/>
          <w:color w:val="000000"/>
        </w:rPr>
      </w:pPr>
    </w:p>
    <w:p w14:paraId="6C8F3250" w14:textId="77777777" w:rsidR="00C33A41" w:rsidRDefault="007B3952">
      <w:pPr>
        <w:spacing w:line="360" w:lineRule="auto"/>
      </w:pPr>
      <w:r>
        <w:rPr>
          <w:b/>
        </w:rPr>
        <w:t>Nome completo</w:t>
      </w:r>
      <w:r>
        <w:t xml:space="preserve">:____________________________________________ </w:t>
      </w:r>
      <w:r>
        <w:rPr>
          <w:b/>
        </w:rPr>
        <w:t>Idade</w:t>
      </w:r>
      <w:r>
        <w:t xml:space="preserve">:_______ </w:t>
      </w:r>
    </w:p>
    <w:p w14:paraId="4C8A0BFE" w14:textId="77777777" w:rsidR="00C33A41" w:rsidRDefault="00C33A41">
      <w:pPr>
        <w:spacing w:line="360" w:lineRule="auto"/>
      </w:pPr>
    </w:p>
    <w:p w14:paraId="66FADC86" w14:textId="77777777" w:rsidR="00C33A41" w:rsidRDefault="007B3952">
      <w:pPr>
        <w:spacing w:line="360" w:lineRule="auto"/>
        <w:ind w:firstLine="0"/>
      </w:pPr>
      <w:r>
        <w:rPr>
          <w:b/>
        </w:rPr>
        <w:t>Gênero</w:t>
      </w:r>
      <w:r>
        <w:t xml:space="preserve">: </w:t>
      </w:r>
      <w:proofErr w:type="gramStart"/>
      <w:r>
        <w:t>(  )</w:t>
      </w:r>
      <w:proofErr w:type="gramEnd"/>
      <w:r>
        <w:t xml:space="preserve"> Mulher Cisgênero</w:t>
      </w:r>
    </w:p>
    <w:p w14:paraId="40EAE4EF" w14:textId="77777777" w:rsidR="00C33A41" w:rsidRDefault="007B3952">
      <w:pPr>
        <w:spacing w:line="360" w:lineRule="auto"/>
      </w:pPr>
      <w:r>
        <w:t xml:space="preserve">   </w:t>
      </w:r>
      <w:proofErr w:type="gramStart"/>
      <w:r>
        <w:t>(  )</w:t>
      </w:r>
      <w:proofErr w:type="gramEnd"/>
      <w:r>
        <w:t xml:space="preserve"> Homem Cisgênero</w:t>
      </w:r>
    </w:p>
    <w:p w14:paraId="0E5D8004" w14:textId="77777777" w:rsidR="00C33A41" w:rsidRDefault="007B3952">
      <w:pPr>
        <w:shd w:val="clear" w:color="auto" w:fill="FFFFFF"/>
        <w:spacing w:line="360" w:lineRule="auto"/>
        <w:ind w:firstLine="708"/>
      </w:pPr>
      <w:r>
        <w:t xml:space="preserve">   </w:t>
      </w:r>
      <w:proofErr w:type="gramStart"/>
      <w:r>
        <w:t>(  )</w:t>
      </w:r>
      <w:proofErr w:type="gramEnd"/>
      <w:r>
        <w:t xml:space="preserve"> Homem transgênero</w:t>
      </w:r>
    </w:p>
    <w:p w14:paraId="3404CF1A" w14:textId="77777777" w:rsidR="00C33A41" w:rsidRDefault="007B3952">
      <w:pPr>
        <w:shd w:val="clear" w:color="auto" w:fill="FFFFFF"/>
        <w:spacing w:line="360" w:lineRule="auto"/>
        <w:ind w:firstLine="708"/>
      </w:pPr>
      <w:r>
        <w:t xml:space="preserve">   </w:t>
      </w:r>
      <w:proofErr w:type="gramStart"/>
      <w:r>
        <w:t>(  )</w:t>
      </w:r>
      <w:proofErr w:type="gramEnd"/>
      <w:r>
        <w:t xml:space="preserve"> Mulher transgênero</w:t>
      </w:r>
    </w:p>
    <w:p w14:paraId="3789F462" w14:textId="77777777" w:rsidR="00C33A41" w:rsidRDefault="007B3952">
      <w:pPr>
        <w:shd w:val="clear" w:color="auto" w:fill="FFFFFF"/>
        <w:spacing w:line="360" w:lineRule="auto"/>
        <w:ind w:firstLine="708"/>
      </w:pPr>
      <w:r>
        <w:t xml:space="preserve">   </w:t>
      </w:r>
      <w:proofErr w:type="gramStart"/>
      <w:r>
        <w:t>(  )</w:t>
      </w:r>
      <w:proofErr w:type="gramEnd"/>
      <w:r>
        <w:t xml:space="preserve"> Homem Transexual</w:t>
      </w:r>
    </w:p>
    <w:p w14:paraId="42712892" w14:textId="77777777" w:rsidR="00C33A41" w:rsidRDefault="007B3952">
      <w:pPr>
        <w:shd w:val="clear" w:color="auto" w:fill="FFFFFF"/>
        <w:spacing w:line="360" w:lineRule="auto"/>
        <w:ind w:firstLine="708"/>
      </w:pPr>
      <w:r>
        <w:t xml:space="preserve">   </w:t>
      </w:r>
      <w:proofErr w:type="gramStart"/>
      <w:r>
        <w:t>(  )</w:t>
      </w:r>
      <w:proofErr w:type="gramEnd"/>
      <w:r>
        <w:t xml:space="preserve"> Mulher Transexual</w:t>
      </w:r>
    </w:p>
    <w:p w14:paraId="0A2E4222" w14:textId="77777777" w:rsidR="00C33A41" w:rsidRDefault="007B3952">
      <w:pPr>
        <w:shd w:val="clear" w:color="auto" w:fill="FFFFFF"/>
        <w:spacing w:line="360" w:lineRule="auto"/>
        <w:ind w:firstLine="708"/>
      </w:pPr>
      <w:r>
        <w:t xml:space="preserve">   </w:t>
      </w:r>
      <w:proofErr w:type="gramStart"/>
      <w:r>
        <w:t>(  )</w:t>
      </w:r>
      <w:proofErr w:type="gramEnd"/>
      <w:r>
        <w:t xml:space="preserve"> Não sei responder</w:t>
      </w:r>
    </w:p>
    <w:p w14:paraId="2BABC4B4" w14:textId="77777777" w:rsidR="00C33A41" w:rsidRDefault="007B3952">
      <w:pPr>
        <w:shd w:val="clear" w:color="auto" w:fill="FFFFFF"/>
        <w:spacing w:line="360" w:lineRule="auto"/>
        <w:ind w:firstLine="708"/>
      </w:pPr>
      <w:r>
        <w:t xml:space="preserve">   </w:t>
      </w:r>
      <w:proofErr w:type="gramStart"/>
      <w:r>
        <w:t>(  )</w:t>
      </w:r>
      <w:proofErr w:type="gramEnd"/>
      <w:r>
        <w:t xml:space="preserve"> Prefiro não responder</w:t>
      </w:r>
    </w:p>
    <w:p w14:paraId="77A609A0" w14:textId="77777777" w:rsidR="00C33A41" w:rsidRDefault="007B3952">
      <w:pPr>
        <w:spacing w:line="360" w:lineRule="auto"/>
        <w:ind w:left="708" w:firstLine="708"/>
      </w:pPr>
      <w:r>
        <w:t xml:space="preserve">   </w:t>
      </w:r>
      <w:proofErr w:type="gramStart"/>
      <w:r>
        <w:t>(  )</w:t>
      </w:r>
      <w:proofErr w:type="gramEnd"/>
      <w:r>
        <w:t xml:space="preserve"> Outros. Qual:________</w:t>
      </w:r>
    </w:p>
    <w:p w14:paraId="37CC2FF8" w14:textId="77777777" w:rsidR="00C33A41" w:rsidRDefault="00C33A41">
      <w:pPr>
        <w:spacing w:line="360" w:lineRule="auto"/>
        <w:ind w:left="708" w:firstLine="708"/>
      </w:pPr>
    </w:p>
    <w:p w14:paraId="2F5905B3" w14:textId="77777777" w:rsidR="00C33A41" w:rsidRDefault="007B3952">
      <w:pPr>
        <w:spacing w:line="360" w:lineRule="auto"/>
        <w:ind w:firstLine="0"/>
      </w:pPr>
      <w:r>
        <w:rPr>
          <w:b/>
        </w:rPr>
        <w:t>Cor</w:t>
      </w:r>
      <w:r>
        <w:t xml:space="preserve">: </w:t>
      </w:r>
      <w:proofErr w:type="gramStart"/>
      <w:r>
        <w:t>(  )</w:t>
      </w:r>
      <w:proofErr w:type="gramEnd"/>
      <w:r>
        <w:t xml:space="preserve"> Branca  (  ) Negra  (  ) Parda  (  ) Amarela  (   ) Indígena </w:t>
      </w:r>
    </w:p>
    <w:p w14:paraId="053C7E3F" w14:textId="77777777" w:rsidR="00C33A41" w:rsidRDefault="00C33A41">
      <w:pPr>
        <w:spacing w:line="360" w:lineRule="auto"/>
      </w:pPr>
    </w:p>
    <w:p w14:paraId="7CC3DEAC" w14:textId="77777777" w:rsidR="00C33A41" w:rsidRDefault="007B3952">
      <w:pPr>
        <w:pBdr>
          <w:top w:val="nil"/>
          <w:left w:val="nil"/>
          <w:bottom w:val="nil"/>
          <w:right w:val="nil"/>
          <w:between w:val="nil"/>
        </w:pBdr>
        <w:spacing w:line="240" w:lineRule="auto"/>
        <w:ind w:firstLine="0"/>
        <w:rPr>
          <w:color w:val="000000"/>
        </w:rPr>
      </w:pPr>
      <w:r>
        <w:rPr>
          <w:b/>
          <w:color w:val="000000"/>
        </w:rPr>
        <w:t>Religião</w:t>
      </w:r>
      <w:proofErr w:type="gramStart"/>
      <w:r>
        <w:rPr>
          <w:color w:val="000000"/>
        </w:rPr>
        <w:t>:  (</w:t>
      </w:r>
      <w:proofErr w:type="gramEnd"/>
      <w:r>
        <w:rPr>
          <w:color w:val="000000"/>
        </w:rPr>
        <w:t xml:space="preserve">  ) Católica  </w:t>
      </w:r>
    </w:p>
    <w:p w14:paraId="014257A3" w14:textId="77777777" w:rsidR="00C33A41" w:rsidRDefault="007B3952">
      <w:pPr>
        <w:pBdr>
          <w:top w:val="nil"/>
          <w:left w:val="nil"/>
          <w:bottom w:val="nil"/>
          <w:right w:val="nil"/>
          <w:between w:val="nil"/>
        </w:pBdr>
        <w:spacing w:line="240" w:lineRule="auto"/>
        <w:ind w:firstLine="708"/>
        <w:rPr>
          <w:color w:val="000000"/>
        </w:rPr>
      </w:pPr>
      <w:r>
        <w:rPr>
          <w:color w:val="000000"/>
        </w:rPr>
        <w:t xml:space="preserve">      </w:t>
      </w:r>
      <w:proofErr w:type="gramStart"/>
      <w:r>
        <w:rPr>
          <w:color w:val="000000"/>
        </w:rPr>
        <w:t>(  )</w:t>
      </w:r>
      <w:proofErr w:type="gramEnd"/>
      <w:r>
        <w:rPr>
          <w:color w:val="000000"/>
        </w:rPr>
        <w:t xml:space="preserve"> Protestante ou Evangélica  </w:t>
      </w:r>
    </w:p>
    <w:p w14:paraId="6928B1F3" w14:textId="77777777" w:rsidR="00C33A41" w:rsidRDefault="007B3952">
      <w:pPr>
        <w:pBdr>
          <w:top w:val="nil"/>
          <w:left w:val="nil"/>
          <w:bottom w:val="nil"/>
          <w:right w:val="nil"/>
          <w:between w:val="nil"/>
        </w:pBdr>
        <w:spacing w:line="240" w:lineRule="auto"/>
        <w:ind w:firstLine="708"/>
        <w:rPr>
          <w:color w:val="000000"/>
        </w:rPr>
      </w:pPr>
      <w:r>
        <w:rPr>
          <w:color w:val="000000"/>
        </w:rPr>
        <w:t xml:space="preserve">     </w:t>
      </w:r>
      <w:proofErr w:type="gramStart"/>
      <w:r>
        <w:rPr>
          <w:color w:val="000000"/>
        </w:rPr>
        <w:t>(  )</w:t>
      </w:r>
      <w:proofErr w:type="gramEnd"/>
      <w:r>
        <w:rPr>
          <w:color w:val="000000"/>
        </w:rPr>
        <w:t xml:space="preserve"> </w:t>
      </w:r>
      <w:r>
        <w:t>Espírita</w:t>
      </w:r>
      <w:r>
        <w:rPr>
          <w:color w:val="000000"/>
        </w:rPr>
        <w:t xml:space="preserve">   </w:t>
      </w:r>
    </w:p>
    <w:p w14:paraId="593F97C9" w14:textId="77777777" w:rsidR="00C33A41" w:rsidRDefault="007B3952">
      <w:pPr>
        <w:pBdr>
          <w:top w:val="nil"/>
          <w:left w:val="nil"/>
          <w:bottom w:val="nil"/>
          <w:right w:val="nil"/>
          <w:between w:val="nil"/>
        </w:pBdr>
        <w:spacing w:line="240" w:lineRule="auto"/>
        <w:ind w:firstLine="708"/>
        <w:rPr>
          <w:color w:val="000000"/>
        </w:rPr>
      </w:pPr>
      <w:r>
        <w:rPr>
          <w:color w:val="000000"/>
        </w:rPr>
        <w:t xml:space="preserve">     </w:t>
      </w:r>
      <w:proofErr w:type="gramStart"/>
      <w:r>
        <w:rPr>
          <w:color w:val="000000"/>
        </w:rPr>
        <w:t>(  )</w:t>
      </w:r>
      <w:proofErr w:type="gramEnd"/>
      <w:r>
        <w:rPr>
          <w:color w:val="000000"/>
        </w:rPr>
        <w:t xml:space="preserve"> Umbanda ou Candomblé </w:t>
      </w:r>
    </w:p>
    <w:p w14:paraId="77AEDD85" w14:textId="77777777" w:rsidR="00C33A41" w:rsidRDefault="007B3952">
      <w:pPr>
        <w:pBdr>
          <w:top w:val="nil"/>
          <w:left w:val="nil"/>
          <w:bottom w:val="nil"/>
          <w:right w:val="nil"/>
          <w:between w:val="nil"/>
        </w:pBdr>
        <w:spacing w:line="240" w:lineRule="auto"/>
        <w:ind w:firstLine="708"/>
        <w:rPr>
          <w:color w:val="000000"/>
        </w:rPr>
      </w:pPr>
      <w:r>
        <w:rPr>
          <w:color w:val="000000"/>
        </w:rPr>
        <w:t xml:space="preserve">     </w:t>
      </w:r>
      <w:proofErr w:type="gramStart"/>
      <w:r>
        <w:rPr>
          <w:color w:val="000000"/>
        </w:rPr>
        <w:t>(  )</w:t>
      </w:r>
      <w:proofErr w:type="gramEnd"/>
      <w:r>
        <w:rPr>
          <w:color w:val="000000"/>
        </w:rPr>
        <w:t xml:space="preserve"> Outras  </w:t>
      </w:r>
    </w:p>
    <w:p w14:paraId="0A753FEA" w14:textId="77777777" w:rsidR="00C33A41" w:rsidRDefault="007B3952">
      <w:pPr>
        <w:pBdr>
          <w:top w:val="nil"/>
          <w:left w:val="nil"/>
          <w:bottom w:val="nil"/>
          <w:right w:val="nil"/>
          <w:between w:val="nil"/>
        </w:pBdr>
        <w:spacing w:line="240" w:lineRule="auto"/>
        <w:ind w:firstLine="708"/>
        <w:rPr>
          <w:color w:val="000000"/>
        </w:rPr>
      </w:pPr>
      <w:r>
        <w:rPr>
          <w:color w:val="000000"/>
        </w:rPr>
        <w:t xml:space="preserve">     </w:t>
      </w:r>
      <w:proofErr w:type="gramStart"/>
      <w:r>
        <w:rPr>
          <w:color w:val="000000"/>
        </w:rPr>
        <w:t>(  )</w:t>
      </w:r>
      <w:proofErr w:type="gramEnd"/>
      <w:r>
        <w:rPr>
          <w:color w:val="000000"/>
        </w:rPr>
        <w:t xml:space="preserve"> Sem religião</w:t>
      </w:r>
      <w:r>
        <w:t xml:space="preserve">     </w:t>
      </w:r>
    </w:p>
    <w:p w14:paraId="4F21AC94" w14:textId="77777777" w:rsidR="00C33A41" w:rsidRDefault="00C33A41">
      <w:pPr>
        <w:spacing w:line="360" w:lineRule="auto"/>
      </w:pPr>
    </w:p>
    <w:p w14:paraId="59E688EC" w14:textId="77777777" w:rsidR="00C33A41" w:rsidRDefault="007B3952">
      <w:pPr>
        <w:spacing w:line="360" w:lineRule="auto"/>
        <w:ind w:firstLine="0"/>
      </w:pPr>
      <w:r>
        <w:rPr>
          <w:b/>
        </w:rPr>
        <w:t>Escolaridade</w:t>
      </w:r>
      <w:r>
        <w:t xml:space="preserve">: </w:t>
      </w:r>
      <w:proofErr w:type="gramStart"/>
      <w:r>
        <w:t>(  )</w:t>
      </w:r>
      <w:proofErr w:type="gramEnd"/>
      <w:r>
        <w:t xml:space="preserve"> Ensino Fundamental incompleto</w:t>
      </w:r>
    </w:p>
    <w:p w14:paraId="7C1FB9CC" w14:textId="77777777" w:rsidR="00C33A41" w:rsidRDefault="007B3952">
      <w:pPr>
        <w:spacing w:line="360" w:lineRule="auto"/>
        <w:ind w:left="708" w:firstLine="708"/>
      </w:pPr>
      <w:r>
        <w:t xml:space="preserve"> </w:t>
      </w:r>
      <w:proofErr w:type="gramStart"/>
      <w:r>
        <w:t>(  )</w:t>
      </w:r>
      <w:proofErr w:type="gramEnd"/>
      <w:r>
        <w:t xml:space="preserve"> Ensino Fundamental completo</w:t>
      </w:r>
    </w:p>
    <w:p w14:paraId="6827AECF" w14:textId="77777777" w:rsidR="00C33A41" w:rsidRDefault="007B3952">
      <w:pPr>
        <w:spacing w:line="360" w:lineRule="auto"/>
      </w:pPr>
      <w:r>
        <w:tab/>
      </w:r>
      <w:r>
        <w:tab/>
        <w:t xml:space="preserve"> </w:t>
      </w:r>
      <w:proofErr w:type="gramStart"/>
      <w:r>
        <w:t>(  )</w:t>
      </w:r>
      <w:proofErr w:type="gramEnd"/>
      <w:r>
        <w:t xml:space="preserve"> Ensino Médio incompleto</w:t>
      </w:r>
    </w:p>
    <w:p w14:paraId="556A2406" w14:textId="77777777" w:rsidR="00C33A41" w:rsidRDefault="007B3952">
      <w:pPr>
        <w:spacing w:line="360" w:lineRule="auto"/>
      </w:pPr>
      <w:r>
        <w:tab/>
      </w:r>
      <w:r>
        <w:tab/>
        <w:t xml:space="preserve"> </w:t>
      </w:r>
      <w:proofErr w:type="gramStart"/>
      <w:r>
        <w:t>(  )</w:t>
      </w:r>
      <w:proofErr w:type="gramEnd"/>
      <w:r>
        <w:t xml:space="preserve"> Ensino Médio completo</w:t>
      </w:r>
    </w:p>
    <w:p w14:paraId="63F4D870" w14:textId="77777777" w:rsidR="00C33A41" w:rsidRDefault="007B3952">
      <w:pPr>
        <w:spacing w:line="360" w:lineRule="auto"/>
      </w:pPr>
      <w:r>
        <w:tab/>
      </w:r>
      <w:r>
        <w:tab/>
        <w:t xml:space="preserve"> </w:t>
      </w:r>
      <w:proofErr w:type="gramStart"/>
      <w:r>
        <w:t>(  )</w:t>
      </w:r>
      <w:proofErr w:type="gramEnd"/>
      <w:r>
        <w:t xml:space="preserve"> Não sei.</w:t>
      </w:r>
    </w:p>
    <w:p w14:paraId="43202DDC" w14:textId="77777777" w:rsidR="00C33A41" w:rsidRDefault="00C33A41">
      <w:pPr>
        <w:spacing w:line="360" w:lineRule="auto"/>
        <w:rPr>
          <w:color w:val="FF0000"/>
        </w:rPr>
      </w:pPr>
    </w:p>
    <w:p w14:paraId="448C1D59" w14:textId="77777777" w:rsidR="00C33A41" w:rsidRDefault="00C33A41">
      <w:pPr>
        <w:spacing w:line="360" w:lineRule="auto"/>
        <w:rPr>
          <w:color w:val="FF0000"/>
        </w:rPr>
      </w:pPr>
    </w:p>
    <w:p w14:paraId="4E4EC3A9" w14:textId="77777777" w:rsidR="00C33A41" w:rsidRDefault="00C33A41">
      <w:pPr>
        <w:spacing w:line="360" w:lineRule="auto"/>
        <w:rPr>
          <w:color w:val="FF0000"/>
        </w:rPr>
      </w:pPr>
    </w:p>
    <w:p w14:paraId="3EB50C8D" w14:textId="77777777" w:rsidR="00C33A41" w:rsidRDefault="00C33A41">
      <w:pPr>
        <w:spacing w:line="360" w:lineRule="auto"/>
        <w:rPr>
          <w:color w:val="FF0000"/>
        </w:rPr>
      </w:pPr>
    </w:p>
    <w:p w14:paraId="42AF551D" w14:textId="77777777" w:rsidR="00C33A41" w:rsidRDefault="00C33A41">
      <w:pPr>
        <w:spacing w:line="360" w:lineRule="auto"/>
        <w:rPr>
          <w:color w:val="FF0000"/>
        </w:rPr>
      </w:pPr>
    </w:p>
    <w:p w14:paraId="5B6115D8" w14:textId="77777777" w:rsidR="00C33A41" w:rsidRDefault="007B3952">
      <w:pPr>
        <w:numPr>
          <w:ilvl w:val="0"/>
          <w:numId w:val="12"/>
        </w:numPr>
        <w:pBdr>
          <w:top w:val="nil"/>
          <w:left w:val="nil"/>
          <w:bottom w:val="nil"/>
          <w:right w:val="nil"/>
          <w:between w:val="nil"/>
        </w:pBdr>
        <w:rPr>
          <w:b/>
          <w:color w:val="000000"/>
        </w:rPr>
      </w:pPr>
      <w:r>
        <w:rPr>
          <w:b/>
          <w:color w:val="000000"/>
        </w:rPr>
        <w:t>Dados sobre exposição ao Covid-19</w:t>
      </w:r>
    </w:p>
    <w:tbl>
      <w:tblPr>
        <w:tblStyle w:val="af4"/>
        <w:tblW w:w="8494"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56"/>
        <w:gridCol w:w="808"/>
        <w:gridCol w:w="630"/>
      </w:tblGrid>
      <w:tr w:rsidR="00C33A41" w14:paraId="401C8340" w14:textId="77777777">
        <w:tc>
          <w:tcPr>
            <w:tcW w:w="7056" w:type="dxa"/>
          </w:tcPr>
          <w:p w14:paraId="368FF748" w14:textId="77777777" w:rsidR="00C33A41" w:rsidRDefault="007B3952">
            <w:pPr>
              <w:spacing w:line="360" w:lineRule="auto"/>
              <w:jc w:val="center"/>
              <w:rPr>
                <w:b/>
              </w:rPr>
            </w:pPr>
            <w:r>
              <w:rPr>
                <w:b/>
              </w:rPr>
              <w:t>Questões</w:t>
            </w:r>
          </w:p>
        </w:tc>
        <w:tc>
          <w:tcPr>
            <w:tcW w:w="808" w:type="dxa"/>
          </w:tcPr>
          <w:p w14:paraId="4C0E49A4" w14:textId="77777777" w:rsidR="00C33A41" w:rsidRDefault="007B3952">
            <w:pPr>
              <w:spacing w:line="360" w:lineRule="auto"/>
              <w:ind w:firstLine="0"/>
              <w:jc w:val="center"/>
              <w:rPr>
                <w:b/>
              </w:rPr>
            </w:pPr>
            <w:r>
              <w:rPr>
                <w:b/>
              </w:rPr>
              <w:t>Sim</w:t>
            </w:r>
          </w:p>
        </w:tc>
        <w:tc>
          <w:tcPr>
            <w:tcW w:w="630" w:type="dxa"/>
          </w:tcPr>
          <w:p w14:paraId="5B2BF32A" w14:textId="77777777" w:rsidR="00C33A41" w:rsidRDefault="007B3952">
            <w:pPr>
              <w:spacing w:line="360" w:lineRule="auto"/>
              <w:ind w:firstLine="0"/>
              <w:jc w:val="center"/>
              <w:rPr>
                <w:b/>
              </w:rPr>
            </w:pPr>
            <w:r>
              <w:rPr>
                <w:b/>
              </w:rPr>
              <w:t>Não</w:t>
            </w:r>
          </w:p>
        </w:tc>
      </w:tr>
      <w:tr w:rsidR="00C33A41" w14:paraId="4ECA9321" w14:textId="77777777">
        <w:tc>
          <w:tcPr>
            <w:tcW w:w="7056" w:type="dxa"/>
          </w:tcPr>
          <w:p w14:paraId="20E404CB" w14:textId="77777777" w:rsidR="00C33A41" w:rsidRDefault="007B3952">
            <w:pPr>
              <w:spacing w:line="360" w:lineRule="auto"/>
            </w:pPr>
            <w:r>
              <w:t>Você já fez algum teste de Covid-19?</w:t>
            </w:r>
          </w:p>
        </w:tc>
        <w:tc>
          <w:tcPr>
            <w:tcW w:w="808" w:type="dxa"/>
          </w:tcPr>
          <w:p w14:paraId="6698B1B7" w14:textId="77777777" w:rsidR="00C33A41" w:rsidRDefault="00C33A41">
            <w:pPr>
              <w:spacing w:line="360" w:lineRule="auto"/>
            </w:pPr>
          </w:p>
        </w:tc>
        <w:tc>
          <w:tcPr>
            <w:tcW w:w="630" w:type="dxa"/>
          </w:tcPr>
          <w:p w14:paraId="0AE6AEBF" w14:textId="77777777" w:rsidR="00C33A41" w:rsidRDefault="00C33A41">
            <w:pPr>
              <w:spacing w:line="360" w:lineRule="auto"/>
            </w:pPr>
          </w:p>
        </w:tc>
      </w:tr>
      <w:tr w:rsidR="00C33A41" w14:paraId="3EF237AD" w14:textId="77777777">
        <w:tc>
          <w:tcPr>
            <w:tcW w:w="7056" w:type="dxa"/>
          </w:tcPr>
          <w:p w14:paraId="4C7B263D" w14:textId="77777777" w:rsidR="00C33A41" w:rsidRDefault="007B3952">
            <w:pPr>
              <w:spacing w:line="360" w:lineRule="auto"/>
            </w:pPr>
            <w:r>
              <w:t>Você já foi contaminado com o Covid-19?</w:t>
            </w:r>
          </w:p>
        </w:tc>
        <w:tc>
          <w:tcPr>
            <w:tcW w:w="808" w:type="dxa"/>
          </w:tcPr>
          <w:p w14:paraId="2B76D66A" w14:textId="77777777" w:rsidR="00C33A41" w:rsidRDefault="00C33A41">
            <w:pPr>
              <w:spacing w:line="360" w:lineRule="auto"/>
            </w:pPr>
          </w:p>
        </w:tc>
        <w:tc>
          <w:tcPr>
            <w:tcW w:w="630" w:type="dxa"/>
          </w:tcPr>
          <w:p w14:paraId="090C7BB3" w14:textId="77777777" w:rsidR="00C33A41" w:rsidRDefault="00C33A41">
            <w:pPr>
              <w:spacing w:line="360" w:lineRule="auto"/>
            </w:pPr>
          </w:p>
        </w:tc>
      </w:tr>
      <w:tr w:rsidR="00C33A41" w14:paraId="5525E4B8" w14:textId="77777777">
        <w:tc>
          <w:tcPr>
            <w:tcW w:w="7056" w:type="dxa"/>
          </w:tcPr>
          <w:p w14:paraId="6D4EC3C8" w14:textId="77777777" w:rsidR="00C33A41" w:rsidRDefault="007B3952">
            <w:pPr>
              <w:spacing w:line="360" w:lineRule="auto"/>
            </w:pPr>
            <w:r>
              <w:t xml:space="preserve">Conhece alguém que testou positivo? </w:t>
            </w:r>
          </w:p>
          <w:p w14:paraId="01B9CAFE" w14:textId="77777777" w:rsidR="00C33A41" w:rsidRDefault="007B3952">
            <w:pPr>
              <w:spacing w:line="360" w:lineRule="auto"/>
            </w:pPr>
            <w:r>
              <w:t>Se sim, quem:__________________</w:t>
            </w:r>
          </w:p>
        </w:tc>
        <w:tc>
          <w:tcPr>
            <w:tcW w:w="808" w:type="dxa"/>
          </w:tcPr>
          <w:p w14:paraId="4FAD2500" w14:textId="77777777" w:rsidR="00C33A41" w:rsidRDefault="00C33A41">
            <w:pPr>
              <w:spacing w:line="360" w:lineRule="auto"/>
            </w:pPr>
          </w:p>
        </w:tc>
        <w:tc>
          <w:tcPr>
            <w:tcW w:w="630" w:type="dxa"/>
          </w:tcPr>
          <w:p w14:paraId="407149B8" w14:textId="77777777" w:rsidR="00C33A41" w:rsidRDefault="00C33A41">
            <w:pPr>
              <w:spacing w:line="360" w:lineRule="auto"/>
            </w:pPr>
          </w:p>
        </w:tc>
      </w:tr>
      <w:tr w:rsidR="00C33A41" w14:paraId="55D2E112" w14:textId="77777777">
        <w:tc>
          <w:tcPr>
            <w:tcW w:w="7056" w:type="dxa"/>
          </w:tcPr>
          <w:p w14:paraId="29C44E9F" w14:textId="77777777" w:rsidR="00C33A41" w:rsidRDefault="007B3952">
            <w:pPr>
              <w:spacing w:line="360" w:lineRule="auto"/>
            </w:pPr>
            <w:r>
              <w:t>Você perdeu algum familiar por causa da Covid-19?</w:t>
            </w:r>
          </w:p>
          <w:p w14:paraId="6B08F330" w14:textId="77777777" w:rsidR="00C33A41" w:rsidRDefault="007B3952">
            <w:pPr>
              <w:spacing w:line="360" w:lineRule="auto"/>
            </w:pPr>
            <w:r>
              <w:t>Se sim, quem:__________________</w:t>
            </w:r>
          </w:p>
        </w:tc>
        <w:tc>
          <w:tcPr>
            <w:tcW w:w="808" w:type="dxa"/>
          </w:tcPr>
          <w:p w14:paraId="516678F0" w14:textId="77777777" w:rsidR="00C33A41" w:rsidRDefault="00C33A41">
            <w:pPr>
              <w:spacing w:line="360" w:lineRule="auto"/>
            </w:pPr>
          </w:p>
        </w:tc>
        <w:tc>
          <w:tcPr>
            <w:tcW w:w="630" w:type="dxa"/>
          </w:tcPr>
          <w:p w14:paraId="633A7CCE" w14:textId="77777777" w:rsidR="00C33A41" w:rsidRDefault="00C33A41">
            <w:pPr>
              <w:spacing w:line="360" w:lineRule="auto"/>
            </w:pPr>
          </w:p>
        </w:tc>
      </w:tr>
      <w:tr w:rsidR="00C33A41" w14:paraId="63E622B4" w14:textId="77777777">
        <w:tc>
          <w:tcPr>
            <w:tcW w:w="7056" w:type="dxa"/>
          </w:tcPr>
          <w:p w14:paraId="16116182" w14:textId="77777777" w:rsidR="00C33A41" w:rsidRDefault="007B3952">
            <w:pPr>
              <w:spacing w:line="360" w:lineRule="auto"/>
            </w:pPr>
            <w:r>
              <w:t xml:space="preserve">Você recebeu orientações sobre como se prevenir para não se contaminar com o Covid-19? </w:t>
            </w:r>
          </w:p>
          <w:p w14:paraId="33D67645" w14:textId="77777777" w:rsidR="00C33A41" w:rsidRDefault="007B3952">
            <w:pPr>
              <w:spacing w:line="360" w:lineRule="auto"/>
            </w:pPr>
            <w:r>
              <w:t>Se sim, de quem?</w:t>
            </w:r>
          </w:p>
        </w:tc>
        <w:tc>
          <w:tcPr>
            <w:tcW w:w="808" w:type="dxa"/>
          </w:tcPr>
          <w:p w14:paraId="4583F7D4" w14:textId="77777777" w:rsidR="00C33A41" w:rsidRDefault="00C33A41">
            <w:pPr>
              <w:spacing w:line="360" w:lineRule="auto"/>
            </w:pPr>
          </w:p>
        </w:tc>
        <w:tc>
          <w:tcPr>
            <w:tcW w:w="630" w:type="dxa"/>
          </w:tcPr>
          <w:p w14:paraId="72C753C8" w14:textId="77777777" w:rsidR="00C33A41" w:rsidRDefault="00C33A41">
            <w:pPr>
              <w:spacing w:line="360" w:lineRule="auto"/>
            </w:pPr>
          </w:p>
        </w:tc>
      </w:tr>
      <w:tr w:rsidR="00C33A41" w14:paraId="2223C97E" w14:textId="77777777">
        <w:tc>
          <w:tcPr>
            <w:tcW w:w="7056" w:type="dxa"/>
          </w:tcPr>
          <w:p w14:paraId="0ECE47C2" w14:textId="77777777" w:rsidR="00C33A41" w:rsidRDefault="007B3952">
            <w:pPr>
              <w:spacing w:line="360" w:lineRule="auto"/>
            </w:pPr>
            <w:r>
              <w:t>Você já tomou a vacina?</w:t>
            </w:r>
          </w:p>
          <w:p w14:paraId="1AA39454" w14:textId="77777777" w:rsidR="00C33A41" w:rsidRDefault="007B3952">
            <w:pPr>
              <w:spacing w:line="360" w:lineRule="auto"/>
            </w:pPr>
            <w:r>
              <w:t xml:space="preserve">Se sim, quantas doses?  </w:t>
            </w:r>
            <w:proofErr w:type="gramStart"/>
            <w:r>
              <w:t>( )</w:t>
            </w:r>
            <w:proofErr w:type="gramEnd"/>
            <w:r>
              <w:t xml:space="preserve"> 1    ( ) 2    ( ) 3</w:t>
            </w:r>
          </w:p>
        </w:tc>
        <w:tc>
          <w:tcPr>
            <w:tcW w:w="808" w:type="dxa"/>
          </w:tcPr>
          <w:p w14:paraId="107E0C7F" w14:textId="77777777" w:rsidR="00C33A41" w:rsidRDefault="00C33A41">
            <w:pPr>
              <w:spacing w:line="360" w:lineRule="auto"/>
            </w:pPr>
          </w:p>
        </w:tc>
        <w:tc>
          <w:tcPr>
            <w:tcW w:w="630" w:type="dxa"/>
          </w:tcPr>
          <w:p w14:paraId="4EB21D88" w14:textId="77777777" w:rsidR="00C33A41" w:rsidRDefault="00C33A41">
            <w:pPr>
              <w:spacing w:line="360" w:lineRule="auto"/>
            </w:pPr>
          </w:p>
        </w:tc>
      </w:tr>
    </w:tbl>
    <w:p w14:paraId="51F5AD81" w14:textId="77777777" w:rsidR="00C33A41" w:rsidRDefault="00C33A41">
      <w:pPr>
        <w:rPr>
          <w:b/>
        </w:rPr>
      </w:pPr>
    </w:p>
    <w:p w14:paraId="590E19AF" w14:textId="77777777" w:rsidR="00C33A41" w:rsidRDefault="00C33A41"/>
    <w:p w14:paraId="0CFC3707" w14:textId="77777777" w:rsidR="00C33A41" w:rsidRDefault="00C33A41"/>
    <w:p w14:paraId="42D7C2F6" w14:textId="77777777" w:rsidR="00C33A41" w:rsidRDefault="00C33A41"/>
    <w:p w14:paraId="6A5F32C7" w14:textId="77777777" w:rsidR="00C33A41" w:rsidRDefault="00C33A41"/>
    <w:p w14:paraId="612BED35" w14:textId="77777777" w:rsidR="00C33A41" w:rsidRDefault="00C33A41"/>
    <w:p w14:paraId="6D380030" w14:textId="77777777" w:rsidR="00C33A41" w:rsidRDefault="00C33A41"/>
    <w:p w14:paraId="186C2DE5" w14:textId="77777777" w:rsidR="00C33A41" w:rsidRDefault="00C33A41"/>
    <w:p w14:paraId="092978CB" w14:textId="77777777" w:rsidR="00C33A41" w:rsidRDefault="00C33A41"/>
    <w:p w14:paraId="170BCBFB" w14:textId="77777777" w:rsidR="00C33A41" w:rsidRDefault="00C33A41"/>
    <w:p w14:paraId="3A9D138E" w14:textId="77777777" w:rsidR="00C33A41" w:rsidRDefault="00C33A41"/>
    <w:p w14:paraId="37041158" w14:textId="77777777" w:rsidR="00C33A41" w:rsidRDefault="00C33A41"/>
    <w:p w14:paraId="321A1FE2" w14:textId="77777777" w:rsidR="00C33A41" w:rsidRDefault="00C33A41"/>
    <w:p w14:paraId="2F45DC72" w14:textId="77777777" w:rsidR="00C33A41" w:rsidRDefault="00C33A41">
      <w:pPr>
        <w:ind w:firstLine="0"/>
        <w:rPr>
          <w:b/>
        </w:rPr>
      </w:pPr>
    </w:p>
    <w:p w14:paraId="2626D5DC" w14:textId="77777777" w:rsidR="00C33A41" w:rsidRDefault="007B3952">
      <w:pPr>
        <w:ind w:left="709" w:hanging="709"/>
        <w:jc w:val="center"/>
        <w:rPr>
          <w:b/>
        </w:rPr>
      </w:pPr>
      <w:r>
        <w:rPr>
          <w:b/>
        </w:rPr>
        <w:lastRenderedPageBreak/>
        <w:t>ANEXO D – ROTEIRO DE ENTREVISTA SEMIESTRUTURADO</w:t>
      </w:r>
    </w:p>
    <w:p w14:paraId="3AE72799" w14:textId="77777777" w:rsidR="00C33A41" w:rsidRDefault="007B3952">
      <w:pPr>
        <w:spacing w:line="360" w:lineRule="auto"/>
        <w:jc w:val="center"/>
        <w:rPr>
          <w:b/>
          <w:color w:val="000000"/>
        </w:rPr>
      </w:pPr>
      <w:r>
        <w:rPr>
          <w:b/>
          <w:color w:val="000000"/>
        </w:rPr>
        <w:t>Protocolo para condução das entrevistas</w:t>
      </w:r>
    </w:p>
    <w:p w14:paraId="50E6E7C8" w14:textId="77777777" w:rsidR="00C33A41" w:rsidRDefault="007B3952">
      <w:pPr>
        <w:spacing w:line="360" w:lineRule="auto"/>
        <w:rPr>
          <w:b/>
          <w:color w:val="000000"/>
        </w:rPr>
      </w:pPr>
      <w:r>
        <w:rPr>
          <w:b/>
          <w:color w:val="000000"/>
        </w:rPr>
        <w:t>Recomendações gerais:</w:t>
      </w:r>
    </w:p>
    <w:p w14:paraId="4556BD45" w14:textId="77777777" w:rsidR="00C33A41" w:rsidRDefault="007B3952">
      <w:pPr>
        <w:spacing w:line="360" w:lineRule="auto"/>
        <w:rPr>
          <w:color w:val="000000"/>
        </w:rPr>
      </w:pPr>
      <w:r>
        <w:rPr>
          <w:color w:val="000000"/>
        </w:rPr>
        <w:t>• Revise as perguntas antes do momento da entrevista para que você as conheça bem.</w:t>
      </w:r>
    </w:p>
    <w:p w14:paraId="2BA7E333" w14:textId="77777777" w:rsidR="00C33A41" w:rsidRDefault="007B3952">
      <w:pPr>
        <w:spacing w:line="360" w:lineRule="auto"/>
      </w:pPr>
      <w:r>
        <w:rPr>
          <w:color w:val="000000"/>
        </w:rPr>
        <w:t>• Lembre-se de gravar a entrevista e informar ao participante quando estiver prestes a</w:t>
      </w:r>
      <w:r>
        <w:br/>
      </w:r>
      <w:r>
        <w:rPr>
          <w:color w:val="000000"/>
        </w:rPr>
        <w:t>começar a gravar.</w:t>
      </w:r>
    </w:p>
    <w:p w14:paraId="62C3DAEA" w14:textId="77777777" w:rsidR="00C33A41" w:rsidRDefault="007B3952">
      <w:pPr>
        <w:spacing w:line="360" w:lineRule="auto"/>
      </w:pPr>
      <w:r>
        <w:rPr>
          <w:color w:val="000000"/>
        </w:rPr>
        <w:t xml:space="preserve">• Tente envolver os participantes em pequenas conversas que naturalmente </w:t>
      </w:r>
      <w:r>
        <w:t>levam</w:t>
      </w:r>
      <w:r>
        <w:rPr>
          <w:color w:val="000000"/>
        </w:rPr>
        <w:t xml:space="preserve"> às</w:t>
      </w:r>
      <w:r>
        <w:t xml:space="preserve"> </w:t>
      </w:r>
      <w:r>
        <w:rPr>
          <w:color w:val="000000"/>
        </w:rPr>
        <w:t>perguntas da entrevista.</w:t>
      </w:r>
    </w:p>
    <w:p w14:paraId="0EB2367A" w14:textId="77777777" w:rsidR="00C33A41" w:rsidRDefault="007B3952">
      <w:pPr>
        <w:spacing w:line="360" w:lineRule="auto"/>
      </w:pPr>
      <w:r>
        <w:rPr>
          <w:color w:val="000000"/>
        </w:rPr>
        <w:t>• Faça perguntas na ordem que melhor flui no contexto da conversa (mas tente abordar todos</w:t>
      </w:r>
      <w:r>
        <w:t xml:space="preserve"> </w:t>
      </w:r>
      <w:r>
        <w:rPr>
          <w:color w:val="000000"/>
        </w:rPr>
        <w:t>os pontos o melhor possível)</w:t>
      </w:r>
      <w:r>
        <w:t>.</w:t>
      </w:r>
    </w:p>
    <w:p w14:paraId="65E09646" w14:textId="77777777" w:rsidR="00C33A41" w:rsidRDefault="007B3952">
      <w:pPr>
        <w:spacing w:line="360" w:lineRule="auto"/>
      </w:pPr>
      <w:r>
        <w:rPr>
          <w:color w:val="000000"/>
        </w:rPr>
        <w:t>• Explore as respostas do participante conforme necessário para incentivar sua elaboração,</w:t>
      </w:r>
      <w:r>
        <w:t xml:space="preserve"> </w:t>
      </w:r>
      <w:r>
        <w:rPr>
          <w:color w:val="000000"/>
        </w:rPr>
        <w:t>por exemplo: "Você pode me dar um exemplo do que você quer dizer?" ou "Por favor, me</w:t>
      </w:r>
      <w:r>
        <w:t xml:space="preserve"> </w:t>
      </w:r>
      <w:r>
        <w:rPr>
          <w:color w:val="000000"/>
        </w:rPr>
        <w:t>fale mais sobre isso".</w:t>
      </w:r>
    </w:p>
    <w:p w14:paraId="73F1DEDB" w14:textId="77777777" w:rsidR="00C33A41" w:rsidRDefault="007B3952">
      <w:pPr>
        <w:spacing w:line="360" w:lineRule="auto"/>
      </w:pPr>
      <w:r>
        <w:rPr>
          <w:color w:val="000000"/>
        </w:rPr>
        <w:t>• O silêncio não faz mal! Espere alguns segundos após fazer uma pergunta, depois faça uma</w:t>
      </w:r>
      <w:r>
        <w:t xml:space="preserve"> </w:t>
      </w:r>
      <w:r>
        <w:rPr>
          <w:color w:val="000000"/>
        </w:rPr>
        <w:t>retomada do assunto, se necessário.</w:t>
      </w:r>
    </w:p>
    <w:p w14:paraId="20FF7930" w14:textId="77777777" w:rsidR="00C33A41" w:rsidRDefault="007B3952">
      <w:pPr>
        <w:spacing w:line="360" w:lineRule="auto"/>
      </w:pPr>
      <w:r>
        <w:rPr>
          <w:color w:val="000000"/>
        </w:rPr>
        <w:t>• O bem-estar do participante tem prioridade sobre os objetivos da pesquisa – se ele ou ela</w:t>
      </w:r>
      <w:r>
        <w:t xml:space="preserve"> </w:t>
      </w:r>
      <w:r>
        <w:rPr>
          <w:color w:val="000000"/>
        </w:rPr>
        <w:t>parecer angustiado ou desconfortável em resposta a certas perguntas, lembre-o (a) de que</w:t>
      </w:r>
      <w:r>
        <w:t xml:space="preserve"> </w:t>
      </w:r>
      <w:r>
        <w:rPr>
          <w:color w:val="000000"/>
        </w:rPr>
        <w:t>a entrevista pode ser interrompida a qualquer momento e as perguntas podem ser ignoradas</w:t>
      </w:r>
      <w:r>
        <w:t>.</w:t>
      </w:r>
    </w:p>
    <w:p w14:paraId="03D8E30F" w14:textId="77777777" w:rsidR="00C33A41" w:rsidRDefault="007B3952">
      <w:pPr>
        <w:spacing w:line="360" w:lineRule="auto"/>
      </w:pPr>
      <w:r>
        <w:rPr>
          <w:color w:val="000000"/>
        </w:rPr>
        <w:t>• Lembre-se: Entrevistas são conversas guiadas nas quais o participante deve estar falando a</w:t>
      </w:r>
      <w:r>
        <w:t xml:space="preserve"> </w:t>
      </w:r>
      <w:r>
        <w:rPr>
          <w:color w:val="000000"/>
        </w:rPr>
        <w:t>maior parte do tempo!</w:t>
      </w:r>
    </w:p>
    <w:p w14:paraId="328B67E7" w14:textId="77777777" w:rsidR="00C33A41" w:rsidRDefault="00C33A41">
      <w:pPr>
        <w:spacing w:line="360" w:lineRule="auto"/>
        <w:rPr>
          <w:b/>
          <w:color w:val="222222"/>
          <w:highlight w:val="white"/>
        </w:rPr>
      </w:pPr>
    </w:p>
    <w:p w14:paraId="291DDE43" w14:textId="77777777" w:rsidR="00C33A41" w:rsidRDefault="00C33A41">
      <w:pPr>
        <w:spacing w:line="360" w:lineRule="auto"/>
        <w:jc w:val="center"/>
        <w:rPr>
          <w:b/>
          <w:color w:val="222222"/>
          <w:highlight w:val="white"/>
        </w:rPr>
      </w:pPr>
    </w:p>
    <w:p w14:paraId="79E485E8" w14:textId="77777777" w:rsidR="00C33A41" w:rsidRDefault="007B3952">
      <w:pPr>
        <w:spacing w:line="360" w:lineRule="auto"/>
        <w:jc w:val="center"/>
        <w:rPr>
          <w:b/>
          <w:highlight w:val="white"/>
        </w:rPr>
      </w:pPr>
      <w:r>
        <w:rPr>
          <w:b/>
          <w:highlight w:val="white"/>
        </w:rPr>
        <w:t>Questões da entrevista de acordo com as dimensões:</w:t>
      </w:r>
    </w:p>
    <w:p w14:paraId="4EF1FFC1" w14:textId="77777777" w:rsidR="00C33A41" w:rsidRDefault="00C33A41">
      <w:pPr>
        <w:spacing w:line="360" w:lineRule="auto"/>
        <w:jc w:val="center"/>
        <w:rPr>
          <w:b/>
        </w:rPr>
      </w:pPr>
    </w:p>
    <w:p w14:paraId="34ED6D4D" w14:textId="77777777" w:rsidR="00C33A41" w:rsidRDefault="007B3952">
      <w:pPr>
        <w:spacing w:line="360" w:lineRule="auto"/>
        <w:rPr>
          <w:b/>
        </w:rPr>
      </w:pPr>
      <w:r>
        <w:rPr>
          <w:b/>
        </w:rPr>
        <w:t>1) Percepções dos adolescentes sobre a pandemia</w:t>
      </w:r>
    </w:p>
    <w:p w14:paraId="1386E2D1" w14:textId="77777777" w:rsidR="00C33A41" w:rsidRDefault="007B3952">
      <w:pPr>
        <w:numPr>
          <w:ilvl w:val="0"/>
          <w:numId w:val="3"/>
        </w:numPr>
        <w:pBdr>
          <w:top w:val="nil"/>
          <w:left w:val="nil"/>
          <w:bottom w:val="nil"/>
          <w:right w:val="nil"/>
          <w:between w:val="nil"/>
        </w:pBdr>
        <w:spacing w:line="360" w:lineRule="auto"/>
        <w:rPr>
          <w:color w:val="000000"/>
        </w:rPr>
      </w:pPr>
      <w:r>
        <w:rPr>
          <w:color w:val="000000"/>
        </w:rPr>
        <w:t>Como foi para você tomar conhecimento sobre a pandemia do Covid-19?</w:t>
      </w:r>
    </w:p>
    <w:p w14:paraId="38B8161C" w14:textId="77777777" w:rsidR="00C33A41" w:rsidRDefault="007B3952">
      <w:pPr>
        <w:numPr>
          <w:ilvl w:val="0"/>
          <w:numId w:val="3"/>
        </w:numPr>
        <w:pBdr>
          <w:top w:val="nil"/>
          <w:left w:val="nil"/>
          <w:bottom w:val="nil"/>
          <w:right w:val="nil"/>
          <w:between w:val="nil"/>
        </w:pBdr>
        <w:spacing w:line="360" w:lineRule="auto"/>
        <w:rPr>
          <w:color w:val="000000"/>
        </w:rPr>
      </w:pPr>
      <w:r>
        <w:rPr>
          <w:color w:val="000000"/>
        </w:rPr>
        <w:t xml:space="preserve">Poderia citar exemplos das situações mais </w:t>
      </w:r>
      <w:r>
        <w:t>difíceis</w:t>
      </w:r>
      <w:r>
        <w:rPr>
          <w:color w:val="000000"/>
        </w:rPr>
        <w:t xml:space="preserve"> de lidar com relação a pandemia?</w:t>
      </w:r>
    </w:p>
    <w:p w14:paraId="09351421" w14:textId="77777777" w:rsidR="00C33A41" w:rsidRDefault="007B3952">
      <w:pPr>
        <w:numPr>
          <w:ilvl w:val="0"/>
          <w:numId w:val="3"/>
        </w:numPr>
        <w:pBdr>
          <w:top w:val="nil"/>
          <w:left w:val="nil"/>
          <w:bottom w:val="nil"/>
          <w:right w:val="nil"/>
          <w:between w:val="nil"/>
        </w:pBdr>
        <w:spacing w:line="360" w:lineRule="auto"/>
        <w:rPr>
          <w:color w:val="000000"/>
        </w:rPr>
      </w:pPr>
      <w:r>
        <w:rPr>
          <w:color w:val="000000"/>
          <w:highlight w:val="white"/>
        </w:rPr>
        <w:t xml:space="preserve">Qual a sua </w:t>
      </w:r>
      <w:r>
        <w:rPr>
          <w:highlight w:val="white"/>
        </w:rPr>
        <w:t>percepção</w:t>
      </w:r>
      <w:r>
        <w:rPr>
          <w:color w:val="000000"/>
          <w:highlight w:val="white"/>
        </w:rPr>
        <w:t xml:space="preserve"> sobre as </w:t>
      </w:r>
      <w:r>
        <w:rPr>
          <w:highlight w:val="white"/>
        </w:rPr>
        <w:t>medidas</w:t>
      </w:r>
      <w:r>
        <w:rPr>
          <w:color w:val="000000"/>
          <w:highlight w:val="white"/>
        </w:rPr>
        <w:t xml:space="preserve"> de isolamento social? </w:t>
      </w:r>
    </w:p>
    <w:p w14:paraId="5451F54D" w14:textId="77777777" w:rsidR="00C33A41" w:rsidRDefault="007B3952">
      <w:pPr>
        <w:numPr>
          <w:ilvl w:val="0"/>
          <w:numId w:val="3"/>
        </w:numPr>
        <w:pBdr>
          <w:top w:val="nil"/>
          <w:left w:val="nil"/>
          <w:bottom w:val="nil"/>
          <w:right w:val="nil"/>
          <w:between w:val="nil"/>
        </w:pBdr>
        <w:spacing w:line="360" w:lineRule="auto"/>
        <w:rPr>
          <w:color w:val="000000"/>
        </w:rPr>
      </w:pPr>
      <w:r>
        <w:rPr>
          <w:color w:val="000000"/>
          <w:highlight w:val="white"/>
        </w:rPr>
        <w:lastRenderedPageBreak/>
        <w:t>Você percebeu se alguns sentimentos surgiram ou se intensificaram nesse momento de pandemia? Se sim, quais?</w:t>
      </w:r>
    </w:p>
    <w:p w14:paraId="673C7777" w14:textId="77777777" w:rsidR="00C33A41" w:rsidRDefault="00C33A41">
      <w:pPr>
        <w:pBdr>
          <w:top w:val="nil"/>
          <w:left w:val="nil"/>
          <w:bottom w:val="nil"/>
          <w:right w:val="nil"/>
          <w:between w:val="nil"/>
        </w:pBdr>
        <w:spacing w:line="360" w:lineRule="auto"/>
        <w:ind w:left="720"/>
        <w:rPr>
          <w:color w:val="000000"/>
        </w:rPr>
      </w:pPr>
    </w:p>
    <w:p w14:paraId="15C01109" w14:textId="77777777" w:rsidR="00C33A41" w:rsidRDefault="007B3952">
      <w:pPr>
        <w:spacing w:line="360" w:lineRule="auto"/>
        <w:rPr>
          <w:b/>
        </w:rPr>
      </w:pPr>
      <w:r>
        <w:rPr>
          <w:b/>
        </w:rPr>
        <w:t>2) Alterações e os impactos da pandemia no cotidiano e no modo de vida</w:t>
      </w:r>
    </w:p>
    <w:p w14:paraId="045A42F7" w14:textId="77777777" w:rsidR="00C33A41" w:rsidRDefault="007B3952">
      <w:pPr>
        <w:numPr>
          <w:ilvl w:val="0"/>
          <w:numId w:val="5"/>
        </w:numPr>
        <w:pBdr>
          <w:top w:val="nil"/>
          <w:left w:val="nil"/>
          <w:bottom w:val="nil"/>
          <w:right w:val="nil"/>
          <w:between w:val="nil"/>
        </w:pBdr>
        <w:spacing w:line="360" w:lineRule="auto"/>
        <w:rPr>
          <w:color w:val="000000"/>
        </w:rPr>
      </w:pPr>
      <w:r>
        <w:rPr>
          <w:color w:val="000000"/>
        </w:rPr>
        <w:t xml:space="preserve">Com quem você tem tido contato durante o período de quarentena? Tem alguém com </w:t>
      </w:r>
      <w:r>
        <w:t>quem</w:t>
      </w:r>
      <w:r>
        <w:rPr>
          <w:color w:val="000000"/>
        </w:rPr>
        <w:t xml:space="preserve"> você </w:t>
      </w:r>
      <w:r>
        <w:t>convivia</w:t>
      </w:r>
      <w:r>
        <w:rPr>
          <w:color w:val="000000"/>
        </w:rPr>
        <w:t xml:space="preserve"> de forma próxima e, atualmente, não tem esse </w:t>
      </w:r>
      <w:r>
        <w:t>convívio?</w:t>
      </w:r>
    </w:p>
    <w:p w14:paraId="15C7B628" w14:textId="77777777" w:rsidR="00C33A41" w:rsidRDefault="007B3952">
      <w:pPr>
        <w:numPr>
          <w:ilvl w:val="0"/>
          <w:numId w:val="5"/>
        </w:numPr>
        <w:pBdr>
          <w:top w:val="nil"/>
          <w:left w:val="nil"/>
          <w:bottom w:val="nil"/>
          <w:right w:val="nil"/>
          <w:between w:val="nil"/>
        </w:pBdr>
        <w:spacing w:line="360" w:lineRule="auto"/>
        <w:rPr>
          <w:color w:val="000000"/>
        </w:rPr>
      </w:pPr>
      <w:r>
        <w:rPr>
          <w:color w:val="000000"/>
        </w:rPr>
        <w:t>Quais atividades você fazia com mais frequência antes da pandemia? E quais são as atividades que tem feito durante a pandemia?</w:t>
      </w:r>
    </w:p>
    <w:p w14:paraId="29A3C764" w14:textId="77777777" w:rsidR="00C33A41" w:rsidRDefault="007B3952">
      <w:pPr>
        <w:numPr>
          <w:ilvl w:val="0"/>
          <w:numId w:val="5"/>
        </w:numPr>
        <w:pBdr>
          <w:top w:val="nil"/>
          <w:left w:val="nil"/>
          <w:bottom w:val="nil"/>
          <w:right w:val="nil"/>
          <w:between w:val="nil"/>
        </w:pBdr>
        <w:spacing w:line="360" w:lineRule="auto"/>
        <w:rPr>
          <w:color w:val="000000"/>
        </w:rPr>
      </w:pPr>
      <w:r>
        <w:rPr>
          <w:color w:val="000000"/>
        </w:rPr>
        <w:t xml:space="preserve">Cite alguns exemplos de atividades que você mais tem sentido falta de fazer durante o isolamento? </w:t>
      </w:r>
    </w:p>
    <w:p w14:paraId="0B251D46" w14:textId="77777777" w:rsidR="00C33A41" w:rsidRDefault="007B3952">
      <w:pPr>
        <w:numPr>
          <w:ilvl w:val="0"/>
          <w:numId w:val="5"/>
        </w:numPr>
        <w:pBdr>
          <w:top w:val="nil"/>
          <w:left w:val="nil"/>
          <w:bottom w:val="nil"/>
          <w:right w:val="nil"/>
          <w:between w:val="nil"/>
        </w:pBdr>
        <w:spacing w:line="360" w:lineRule="auto"/>
        <w:rPr>
          <w:color w:val="000000"/>
        </w:rPr>
      </w:pPr>
      <w:r>
        <w:rPr>
          <w:color w:val="000000"/>
        </w:rPr>
        <w:t>Você considera que perdeu o interesse em fazer alguma coisa devido a pandemia? Se sim, quais?</w:t>
      </w:r>
    </w:p>
    <w:p w14:paraId="29E0C705" w14:textId="77777777" w:rsidR="00C33A41" w:rsidRDefault="007B3952">
      <w:pPr>
        <w:numPr>
          <w:ilvl w:val="0"/>
          <w:numId w:val="5"/>
        </w:numPr>
        <w:pBdr>
          <w:top w:val="nil"/>
          <w:left w:val="nil"/>
          <w:bottom w:val="nil"/>
          <w:right w:val="nil"/>
          <w:between w:val="nil"/>
        </w:pBdr>
        <w:spacing w:line="360" w:lineRule="auto"/>
        <w:rPr>
          <w:color w:val="000000"/>
        </w:rPr>
      </w:pPr>
      <w:r>
        <w:rPr>
          <w:color w:val="000000"/>
        </w:rPr>
        <w:t>Quais são as maiores dificuldades que você está enfrentando com a pandemia?</w:t>
      </w:r>
    </w:p>
    <w:p w14:paraId="2F3FD453" w14:textId="77777777" w:rsidR="00C33A41" w:rsidRDefault="007B3952">
      <w:pPr>
        <w:numPr>
          <w:ilvl w:val="0"/>
          <w:numId w:val="5"/>
        </w:numPr>
        <w:pBdr>
          <w:top w:val="nil"/>
          <w:left w:val="nil"/>
          <w:bottom w:val="nil"/>
          <w:right w:val="nil"/>
          <w:between w:val="nil"/>
        </w:pBdr>
        <w:spacing w:line="360" w:lineRule="auto"/>
        <w:rPr>
          <w:color w:val="000000"/>
        </w:rPr>
      </w:pPr>
      <w:r>
        <w:rPr>
          <w:color w:val="000000"/>
        </w:rPr>
        <w:t xml:space="preserve">Qual sua opinião sobre o fechamento das escolas? </w:t>
      </w:r>
    </w:p>
    <w:p w14:paraId="3EC12EE6" w14:textId="77777777" w:rsidR="00C33A41" w:rsidRDefault="00C33A41">
      <w:pPr>
        <w:spacing w:line="360" w:lineRule="auto"/>
      </w:pPr>
    </w:p>
    <w:p w14:paraId="1430F09E" w14:textId="77777777" w:rsidR="00C33A41" w:rsidRDefault="007B3952">
      <w:pPr>
        <w:spacing w:line="360" w:lineRule="auto"/>
        <w:rPr>
          <w:b/>
        </w:rPr>
      </w:pPr>
      <w:r>
        <w:rPr>
          <w:b/>
        </w:rPr>
        <w:t>3) Função da rede de apoio afetiva e social para auxiliá-los durante a pandemia</w:t>
      </w:r>
    </w:p>
    <w:p w14:paraId="348BA6AE"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t>Caso precise, quais pessoas ou lugares podem te oferecer apoio durante a pandemia?</w:t>
      </w:r>
    </w:p>
    <w:p w14:paraId="6C862D69"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t>Você considera ter pessoas de confiança caso precise de algum apoio durante esse período de pandemia? Quem são essas pessoas? E por que te transmitem confiança?</w:t>
      </w:r>
    </w:p>
    <w:p w14:paraId="72890AEE"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t xml:space="preserve">Quem são as pessoas que mais </w:t>
      </w:r>
      <w:r>
        <w:t>têm</w:t>
      </w:r>
      <w:r>
        <w:rPr>
          <w:color w:val="000000"/>
        </w:rPr>
        <w:t xml:space="preserve"> sido presentes no seu dia-a-dia durante a pandemia?</w:t>
      </w:r>
    </w:p>
    <w:p w14:paraId="0E753AFC" w14:textId="77777777" w:rsidR="00C33A41" w:rsidRDefault="00C33A41">
      <w:pPr>
        <w:pBdr>
          <w:top w:val="nil"/>
          <w:left w:val="nil"/>
          <w:bottom w:val="nil"/>
          <w:right w:val="nil"/>
          <w:between w:val="nil"/>
        </w:pBdr>
        <w:spacing w:line="360" w:lineRule="auto"/>
        <w:ind w:left="720"/>
        <w:rPr>
          <w:color w:val="000000"/>
        </w:rPr>
      </w:pPr>
    </w:p>
    <w:p w14:paraId="42648607" w14:textId="77777777" w:rsidR="00C33A41" w:rsidRDefault="007B3952">
      <w:pPr>
        <w:spacing w:line="360" w:lineRule="auto"/>
        <w:rPr>
          <w:b/>
        </w:rPr>
      </w:pPr>
      <w:r>
        <w:rPr>
          <w:b/>
        </w:rPr>
        <w:t>4) Estratégias de enfrentamento que os participantes utilizaram</w:t>
      </w:r>
    </w:p>
    <w:p w14:paraId="25768207"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t>Cite estratégias ou ações que você tem usado para lidar com a pandemia e o isolamento social?</w:t>
      </w:r>
    </w:p>
    <w:p w14:paraId="4E6704F5"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t>Tem realizado alguma atividade para ajudar a lidar com esse período? Se sim, quais? De que forma essas atividades tem te ajudado?</w:t>
      </w:r>
    </w:p>
    <w:p w14:paraId="6136109B"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t>Em quais lugares tem buscado informações sobre a pandemia (televisão, redes sociais, etc)? De que forma o acesso a essas informações te ajuda a lidar com as situações desencadeadas pela pandemia?</w:t>
      </w:r>
    </w:p>
    <w:p w14:paraId="7227EFD5" w14:textId="77777777" w:rsidR="00C33A41" w:rsidRDefault="007B3952">
      <w:pPr>
        <w:numPr>
          <w:ilvl w:val="0"/>
          <w:numId w:val="8"/>
        </w:numPr>
        <w:pBdr>
          <w:top w:val="nil"/>
          <w:left w:val="nil"/>
          <w:bottom w:val="nil"/>
          <w:right w:val="nil"/>
          <w:between w:val="nil"/>
        </w:pBdr>
        <w:spacing w:line="360" w:lineRule="auto"/>
        <w:rPr>
          <w:color w:val="000000"/>
        </w:rPr>
      </w:pPr>
      <w:r>
        <w:rPr>
          <w:color w:val="000000"/>
        </w:rPr>
        <w:lastRenderedPageBreak/>
        <w:t xml:space="preserve">Dê exemplos de </w:t>
      </w:r>
      <w:r>
        <w:t>hábitos/práticas</w:t>
      </w:r>
      <w:r>
        <w:rPr>
          <w:color w:val="000000"/>
        </w:rPr>
        <w:t xml:space="preserve"> que você adquiriu com a pandemia que vai permanecer mesmo após a pandemia?</w:t>
      </w:r>
    </w:p>
    <w:p w14:paraId="0128C34E" w14:textId="77777777" w:rsidR="00C33A41" w:rsidRDefault="00C33A41">
      <w:pPr>
        <w:pBdr>
          <w:top w:val="nil"/>
          <w:left w:val="nil"/>
          <w:bottom w:val="nil"/>
          <w:right w:val="nil"/>
          <w:between w:val="nil"/>
        </w:pBdr>
        <w:spacing w:line="360" w:lineRule="auto"/>
        <w:ind w:firstLine="0"/>
        <w:rPr>
          <w:color w:val="000000"/>
        </w:rPr>
      </w:pPr>
    </w:p>
    <w:p w14:paraId="13D943A8" w14:textId="77777777" w:rsidR="00C33A41" w:rsidRDefault="007B3952">
      <w:pPr>
        <w:spacing w:line="360" w:lineRule="auto"/>
        <w:rPr>
          <w:b/>
        </w:rPr>
      </w:pPr>
      <w:r>
        <w:rPr>
          <w:b/>
        </w:rPr>
        <w:t>5) Expectativas em relação ao futuro após a pandemia.</w:t>
      </w:r>
    </w:p>
    <w:p w14:paraId="11053FFA" w14:textId="77777777" w:rsidR="00C33A41" w:rsidRDefault="007B3952">
      <w:pPr>
        <w:numPr>
          <w:ilvl w:val="0"/>
          <w:numId w:val="4"/>
        </w:numPr>
        <w:pBdr>
          <w:top w:val="nil"/>
          <w:left w:val="nil"/>
          <w:bottom w:val="nil"/>
          <w:right w:val="nil"/>
          <w:between w:val="nil"/>
        </w:pBdr>
        <w:spacing w:line="360" w:lineRule="auto"/>
        <w:rPr>
          <w:b/>
          <w:color w:val="222222"/>
          <w:highlight w:val="white"/>
        </w:rPr>
      </w:pPr>
      <w:r>
        <w:rPr>
          <w:color w:val="000000"/>
        </w:rPr>
        <w:t>Qual é a primeira coisa que você gostaria de fazer quando a situação estiver mais controlada?</w:t>
      </w:r>
    </w:p>
    <w:p w14:paraId="117424CA" w14:textId="77777777" w:rsidR="00C33A41" w:rsidRDefault="007B3952">
      <w:pPr>
        <w:numPr>
          <w:ilvl w:val="0"/>
          <w:numId w:val="4"/>
        </w:numPr>
        <w:pBdr>
          <w:top w:val="nil"/>
          <w:left w:val="nil"/>
          <w:bottom w:val="nil"/>
          <w:right w:val="nil"/>
          <w:between w:val="nil"/>
        </w:pBdr>
        <w:spacing w:line="360" w:lineRule="auto"/>
        <w:rPr>
          <w:b/>
          <w:color w:val="222222"/>
          <w:highlight w:val="white"/>
        </w:rPr>
      </w:pPr>
      <w:r>
        <w:rPr>
          <w:color w:val="000000"/>
        </w:rPr>
        <w:t>Existe algo que você fazia antes da pandemia e acredita que não fará novamente no futuro?</w:t>
      </w:r>
    </w:p>
    <w:p w14:paraId="2FB415BD" w14:textId="77777777" w:rsidR="00C33A41" w:rsidRDefault="007B3952">
      <w:pPr>
        <w:numPr>
          <w:ilvl w:val="0"/>
          <w:numId w:val="4"/>
        </w:numPr>
        <w:pBdr>
          <w:top w:val="nil"/>
          <w:left w:val="nil"/>
          <w:bottom w:val="nil"/>
          <w:right w:val="nil"/>
          <w:between w:val="nil"/>
        </w:pBdr>
        <w:spacing w:line="360" w:lineRule="auto"/>
        <w:rPr>
          <w:b/>
          <w:color w:val="222222"/>
          <w:highlight w:val="white"/>
        </w:rPr>
      </w:pPr>
      <w:r>
        <w:rPr>
          <w:color w:val="000000"/>
        </w:rPr>
        <w:t>Alguma expectativa/sonho que você tinha para o futuro mudou por causa da pandemia?</w:t>
      </w:r>
    </w:p>
    <w:p w14:paraId="2AB2C645" w14:textId="77777777" w:rsidR="00C33A41" w:rsidRDefault="007B3952">
      <w:pPr>
        <w:numPr>
          <w:ilvl w:val="0"/>
          <w:numId w:val="4"/>
        </w:numPr>
        <w:pBdr>
          <w:top w:val="nil"/>
          <w:left w:val="nil"/>
          <w:bottom w:val="nil"/>
          <w:right w:val="nil"/>
          <w:between w:val="nil"/>
        </w:pBdr>
        <w:spacing w:line="360" w:lineRule="auto"/>
        <w:rPr>
          <w:b/>
          <w:color w:val="222222"/>
          <w:highlight w:val="white"/>
        </w:rPr>
      </w:pPr>
      <w:r>
        <w:rPr>
          <w:color w:val="000000"/>
        </w:rPr>
        <w:t>Você considera que a pandemia vai interferir, de alguma forma, nos seus projetos futuros? Se sim, como?</w:t>
      </w:r>
    </w:p>
    <w:p w14:paraId="276D15A7" w14:textId="77777777" w:rsidR="00C33A41" w:rsidRDefault="00C33A41">
      <w:pPr>
        <w:pBdr>
          <w:top w:val="nil"/>
          <w:left w:val="nil"/>
          <w:bottom w:val="nil"/>
          <w:right w:val="nil"/>
          <w:between w:val="nil"/>
        </w:pBdr>
        <w:spacing w:line="360" w:lineRule="auto"/>
        <w:ind w:left="720"/>
        <w:rPr>
          <w:b/>
          <w:color w:val="222222"/>
          <w:highlight w:val="white"/>
        </w:rPr>
      </w:pPr>
    </w:p>
    <w:p w14:paraId="1EE47BED" w14:textId="77777777" w:rsidR="00C33A41" w:rsidRDefault="007B3952">
      <w:pPr>
        <w:spacing w:line="360" w:lineRule="auto"/>
        <w:rPr>
          <w:b/>
        </w:rPr>
      </w:pPr>
      <w:r>
        <w:rPr>
          <w:b/>
        </w:rPr>
        <w:t xml:space="preserve">6) Questões relacionadas a luto e perdas de entes queridos. </w:t>
      </w:r>
    </w:p>
    <w:p w14:paraId="3E730389" w14:textId="77777777" w:rsidR="00C33A41" w:rsidRDefault="007B3952">
      <w:pPr>
        <w:spacing w:line="360" w:lineRule="auto"/>
        <w:rPr>
          <w:b/>
        </w:rPr>
      </w:pPr>
      <w:r>
        <w:rPr>
          <w:b/>
        </w:rPr>
        <w:t xml:space="preserve">As questões abaixo deverão feitas aos adolescentes que verbalizarem durante as entrevistas que perderam entes queridos ou pessoas importantes em decorrência da contaminação pelo covid-19. (Observar se durante o preenchimento do questionário apresentado no Anexo B – Dados sobre exposição ao Covid-19 - o(a) entrevistado(a) indicou perda de familiar em decorrência da contaminação pela COVID-19.) </w:t>
      </w:r>
    </w:p>
    <w:p w14:paraId="5D5B6517"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Como você lidou com esse processo?</w:t>
      </w:r>
    </w:p>
    <w:p w14:paraId="1641FC13"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 xml:space="preserve">Com quem você contou pra te apoiar ou dividir sua dor? </w:t>
      </w:r>
    </w:p>
    <w:p w14:paraId="7C701AC6"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 xml:space="preserve">Como você cuida de você quando sente a saudade? </w:t>
      </w:r>
    </w:p>
    <w:p w14:paraId="73C00EC5"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O que dos seus projetos você adiou com esse luto, mas que gostaria de retomar?</w:t>
      </w:r>
    </w:p>
    <w:p w14:paraId="2A038A89"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 xml:space="preserve">Com quem você conta na família e na comunidade pra te apoiar? </w:t>
      </w:r>
    </w:p>
    <w:p w14:paraId="64E6840E"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 xml:space="preserve">Como você gostaria de ser ajudado neste momento? </w:t>
      </w:r>
    </w:p>
    <w:p w14:paraId="7A650891" w14:textId="77777777" w:rsidR="00C33A41" w:rsidRDefault="007B3952">
      <w:pPr>
        <w:numPr>
          <w:ilvl w:val="0"/>
          <w:numId w:val="6"/>
        </w:numPr>
        <w:pBdr>
          <w:top w:val="nil"/>
          <w:left w:val="nil"/>
          <w:bottom w:val="nil"/>
          <w:right w:val="nil"/>
          <w:between w:val="nil"/>
        </w:pBdr>
        <w:spacing w:line="360" w:lineRule="auto"/>
        <w:rPr>
          <w:color w:val="000000"/>
        </w:rPr>
      </w:pPr>
      <w:r>
        <w:rPr>
          <w:color w:val="000000"/>
        </w:rPr>
        <w:t>Que estratégias ou recursos você reconhece que podem te ajudar?</w:t>
      </w:r>
    </w:p>
    <w:p w14:paraId="110689B5" w14:textId="77777777" w:rsidR="00C33A41" w:rsidRDefault="00C33A41"/>
    <w:p w14:paraId="42DD8EF0" w14:textId="77777777" w:rsidR="00C33A41" w:rsidRDefault="00C33A41"/>
    <w:p w14:paraId="48C17124" w14:textId="77777777" w:rsidR="00C33A41" w:rsidRDefault="00C33A41"/>
    <w:p w14:paraId="401E57C2" w14:textId="77777777" w:rsidR="00C33A41" w:rsidRDefault="00C33A41"/>
    <w:p w14:paraId="6719739B" w14:textId="77777777" w:rsidR="00C33A41" w:rsidRDefault="00C33A41">
      <w:pPr>
        <w:ind w:firstLine="0"/>
      </w:pPr>
    </w:p>
    <w:p w14:paraId="5675021C" w14:textId="77777777" w:rsidR="00C33A41" w:rsidRDefault="007B3952">
      <w:pPr>
        <w:tabs>
          <w:tab w:val="left" w:pos="1950"/>
        </w:tabs>
        <w:spacing w:line="360" w:lineRule="auto"/>
        <w:jc w:val="center"/>
        <w:rPr>
          <w:b/>
          <w:highlight w:val="white"/>
        </w:rPr>
      </w:pPr>
      <w:r>
        <w:rPr>
          <w:b/>
          <w:highlight w:val="white"/>
        </w:rPr>
        <w:lastRenderedPageBreak/>
        <w:t xml:space="preserve">ANEXO E – </w:t>
      </w:r>
      <w:r>
        <w:rPr>
          <w:b/>
        </w:rPr>
        <w:t>QUESTIONÁRIO DE PROJETO DE VIDA</w:t>
      </w:r>
    </w:p>
    <w:p w14:paraId="61DECF3A" w14:textId="77777777" w:rsidR="00C33A41" w:rsidRDefault="007B3952">
      <w:pPr>
        <w:spacing w:line="360" w:lineRule="auto"/>
        <w:ind w:firstLine="708"/>
      </w:pPr>
      <w:r>
        <w:t>Gostaríamos de saber mais sobre o seu projeto de vida. Entendemos por “projeto de vida” o conjunto de objetivos e planos que você provavelmente tem com relação à sua vida no futuro. Porém, não são todos os objetivos e planos para o futuro que podem ser compreendidos como um projeto de vida. Um projeto de vida é um conjunto de objetivos e planos ao qual você atribui um sentido especial. Isto é, os objetivos e planos que representam a forma como você realmente pretende viver (ou continuar vivendo) no futuro. Esses objetivos e planos podem estar relacionados com diferentes áreas da sua vida e não só com o seu trabalho ou carreira profissional. Por favor, pare um pouco para refletir sobre o seu projeto de vida e liste os seus principais objetivos para o futuro relacionados com ele. Um “objetivo para o futuro” é algo que você planeja alcançar ou manter no futuro. Você não precisa utilizar todas as linhas abaixo, liste apenas os objetivos mais importantes que você tem pensado.</w:t>
      </w:r>
    </w:p>
    <w:p w14:paraId="3BC0C2DB" w14:textId="77777777" w:rsidR="00C33A41" w:rsidRDefault="007B3952">
      <w:pPr>
        <w:spacing w:line="360" w:lineRule="auto"/>
        <w:ind w:firstLine="708"/>
      </w:pPr>
      <w:r>
        <w:t>Na segunda coluna (onde diz “idade”), escreva a idade que você acredita que terá quando/se alcançar esses objetivos. Caso seja um objetivo que você já atingiu e apenas quer manter, deixe o espaço em branco.</w:t>
      </w:r>
    </w:p>
    <w:tbl>
      <w:tblPr>
        <w:tblStyle w:val="af5"/>
        <w:tblW w:w="8494"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656"/>
        <w:gridCol w:w="838"/>
      </w:tblGrid>
      <w:tr w:rsidR="00C33A41" w14:paraId="6206A69B" w14:textId="77777777">
        <w:tc>
          <w:tcPr>
            <w:tcW w:w="7656" w:type="dxa"/>
          </w:tcPr>
          <w:p w14:paraId="6D001CC7" w14:textId="77777777" w:rsidR="00C33A41" w:rsidRDefault="007B3952">
            <w:pPr>
              <w:spacing w:after="120" w:line="276" w:lineRule="auto"/>
              <w:rPr>
                <w:b/>
              </w:rPr>
            </w:pPr>
            <w:r>
              <w:rPr>
                <w:b/>
              </w:rPr>
              <w:t>Objetivos</w:t>
            </w:r>
          </w:p>
        </w:tc>
        <w:tc>
          <w:tcPr>
            <w:tcW w:w="838" w:type="dxa"/>
          </w:tcPr>
          <w:p w14:paraId="385CFA9A" w14:textId="77777777" w:rsidR="00C33A41" w:rsidRDefault="007B3952">
            <w:pPr>
              <w:spacing w:after="120" w:line="276" w:lineRule="auto"/>
              <w:rPr>
                <w:b/>
              </w:rPr>
            </w:pPr>
            <w:r>
              <w:rPr>
                <w:b/>
              </w:rPr>
              <w:t>Idade</w:t>
            </w:r>
          </w:p>
        </w:tc>
      </w:tr>
      <w:tr w:rsidR="00C33A41" w14:paraId="30A5BE66" w14:textId="77777777">
        <w:tc>
          <w:tcPr>
            <w:tcW w:w="7656" w:type="dxa"/>
          </w:tcPr>
          <w:p w14:paraId="34327F25" w14:textId="77777777" w:rsidR="00C33A41" w:rsidRDefault="00C33A41">
            <w:pPr>
              <w:spacing w:after="120" w:line="276" w:lineRule="auto"/>
            </w:pPr>
          </w:p>
        </w:tc>
        <w:tc>
          <w:tcPr>
            <w:tcW w:w="838" w:type="dxa"/>
          </w:tcPr>
          <w:p w14:paraId="10448B6E" w14:textId="77777777" w:rsidR="00C33A41" w:rsidRDefault="00C33A41">
            <w:pPr>
              <w:spacing w:after="120" w:line="276" w:lineRule="auto"/>
            </w:pPr>
          </w:p>
        </w:tc>
      </w:tr>
      <w:tr w:rsidR="00C33A41" w14:paraId="7E7FDEF9" w14:textId="77777777">
        <w:tc>
          <w:tcPr>
            <w:tcW w:w="7656" w:type="dxa"/>
          </w:tcPr>
          <w:p w14:paraId="618614D0" w14:textId="77777777" w:rsidR="00C33A41" w:rsidRDefault="00C33A41">
            <w:pPr>
              <w:spacing w:after="120" w:line="276" w:lineRule="auto"/>
            </w:pPr>
          </w:p>
        </w:tc>
        <w:tc>
          <w:tcPr>
            <w:tcW w:w="838" w:type="dxa"/>
          </w:tcPr>
          <w:p w14:paraId="6FD94D85" w14:textId="77777777" w:rsidR="00C33A41" w:rsidRDefault="00C33A41">
            <w:pPr>
              <w:spacing w:after="120" w:line="276" w:lineRule="auto"/>
            </w:pPr>
          </w:p>
        </w:tc>
      </w:tr>
      <w:tr w:rsidR="00C33A41" w14:paraId="40793BD8" w14:textId="77777777">
        <w:tc>
          <w:tcPr>
            <w:tcW w:w="7656" w:type="dxa"/>
          </w:tcPr>
          <w:p w14:paraId="0A99F9CF" w14:textId="77777777" w:rsidR="00C33A41" w:rsidRDefault="00C33A41">
            <w:pPr>
              <w:spacing w:after="120" w:line="276" w:lineRule="auto"/>
            </w:pPr>
          </w:p>
        </w:tc>
        <w:tc>
          <w:tcPr>
            <w:tcW w:w="838" w:type="dxa"/>
          </w:tcPr>
          <w:p w14:paraId="50113DB5" w14:textId="77777777" w:rsidR="00C33A41" w:rsidRDefault="00C33A41">
            <w:pPr>
              <w:spacing w:after="120" w:line="276" w:lineRule="auto"/>
            </w:pPr>
          </w:p>
        </w:tc>
      </w:tr>
      <w:tr w:rsidR="00C33A41" w14:paraId="364F3CE7" w14:textId="77777777">
        <w:tc>
          <w:tcPr>
            <w:tcW w:w="7656" w:type="dxa"/>
          </w:tcPr>
          <w:p w14:paraId="05F9A750" w14:textId="77777777" w:rsidR="00C33A41" w:rsidRDefault="00C33A41">
            <w:pPr>
              <w:spacing w:after="120" w:line="276" w:lineRule="auto"/>
            </w:pPr>
          </w:p>
        </w:tc>
        <w:tc>
          <w:tcPr>
            <w:tcW w:w="838" w:type="dxa"/>
          </w:tcPr>
          <w:p w14:paraId="5594535F" w14:textId="77777777" w:rsidR="00C33A41" w:rsidRDefault="00C33A41">
            <w:pPr>
              <w:spacing w:after="120" w:line="276" w:lineRule="auto"/>
            </w:pPr>
          </w:p>
        </w:tc>
      </w:tr>
      <w:tr w:rsidR="00C33A41" w14:paraId="030BDD25" w14:textId="77777777">
        <w:tc>
          <w:tcPr>
            <w:tcW w:w="7656" w:type="dxa"/>
          </w:tcPr>
          <w:p w14:paraId="18E03825" w14:textId="77777777" w:rsidR="00C33A41" w:rsidRDefault="00C33A41">
            <w:pPr>
              <w:spacing w:after="120" w:line="276" w:lineRule="auto"/>
            </w:pPr>
          </w:p>
        </w:tc>
        <w:tc>
          <w:tcPr>
            <w:tcW w:w="838" w:type="dxa"/>
          </w:tcPr>
          <w:p w14:paraId="6CD6AF31" w14:textId="77777777" w:rsidR="00C33A41" w:rsidRDefault="00C33A41">
            <w:pPr>
              <w:spacing w:after="120" w:line="276" w:lineRule="auto"/>
            </w:pPr>
          </w:p>
        </w:tc>
      </w:tr>
      <w:tr w:rsidR="00C33A41" w14:paraId="10AEBC0A" w14:textId="77777777">
        <w:tc>
          <w:tcPr>
            <w:tcW w:w="7656" w:type="dxa"/>
          </w:tcPr>
          <w:p w14:paraId="792F8EF5" w14:textId="77777777" w:rsidR="00C33A41" w:rsidRDefault="00C33A41">
            <w:pPr>
              <w:spacing w:after="120" w:line="276" w:lineRule="auto"/>
            </w:pPr>
          </w:p>
        </w:tc>
        <w:tc>
          <w:tcPr>
            <w:tcW w:w="838" w:type="dxa"/>
          </w:tcPr>
          <w:p w14:paraId="308C47E4" w14:textId="77777777" w:rsidR="00C33A41" w:rsidRDefault="00C33A41">
            <w:pPr>
              <w:spacing w:after="120" w:line="276" w:lineRule="auto"/>
            </w:pPr>
          </w:p>
        </w:tc>
      </w:tr>
      <w:tr w:rsidR="00C33A41" w14:paraId="09ABCCD2" w14:textId="77777777">
        <w:tc>
          <w:tcPr>
            <w:tcW w:w="7656" w:type="dxa"/>
          </w:tcPr>
          <w:p w14:paraId="1A7086AE" w14:textId="77777777" w:rsidR="00C33A41" w:rsidRDefault="00C33A41">
            <w:pPr>
              <w:spacing w:after="120" w:line="276" w:lineRule="auto"/>
            </w:pPr>
          </w:p>
        </w:tc>
        <w:tc>
          <w:tcPr>
            <w:tcW w:w="838" w:type="dxa"/>
          </w:tcPr>
          <w:p w14:paraId="69EB79C8" w14:textId="77777777" w:rsidR="00C33A41" w:rsidRDefault="00C33A41">
            <w:pPr>
              <w:spacing w:after="120" w:line="276" w:lineRule="auto"/>
            </w:pPr>
          </w:p>
        </w:tc>
      </w:tr>
      <w:tr w:rsidR="00C33A41" w14:paraId="063A977B" w14:textId="77777777">
        <w:tc>
          <w:tcPr>
            <w:tcW w:w="7656" w:type="dxa"/>
          </w:tcPr>
          <w:p w14:paraId="1EDD3BA1" w14:textId="77777777" w:rsidR="00C33A41" w:rsidRDefault="00C33A41">
            <w:pPr>
              <w:spacing w:after="120" w:line="276" w:lineRule="auto"/>
            </w:pPr>
          </w:p>
        </w:tc>
        <w:tc>
          <w:tcPr>
            <w:tcW w:w="838" w:type="dxa"/>
          </w:tcPr>
          <w:p w14:paraId="284550D4" w14:textId="77777777" w:rsidR="00C33A41" w:rsidRDefault="00C33A41">
            <w:pPr>
              <w:spacing w:after="120" w:line="276" w:lineRule="auto"/>
            </w:pPr>
          </w:p>
        </w:tc>
      </w:tr>
      <w:tr w:rsidR="00C33A41" w14:paraId="2B6CFE9E" w14:textId="77777777">
        <w:tc>
          <w:tcPr>
            <w:tcW w:w="7656" w:type="dxa"/>
          </w:tcPr>
          <w:p w14:paraId="10D20195" w14:textId="77777777" w:rsidR="00C33A41" w:rsidRDefault="00C33A41">
            <w:pPr>
              <w:spacing w:after="120" w:line="276" w:lineRule="auto"/>
            </w:pPr>
          </w:p>
        </w:tc>
        <w:tc>
          <w:tcPr>
            <w:tcW w:w="838" w:type="dxa"/>
          </w:tcPr>
          <w:p w14:paraId="639377EF" w14:textId="77777777" w:rsidR="00C33A41" w:rsidRDefault="00C33A41">
            <w:pPr>
              <w:spacing w:after="120" w:line="276" w:lineRule="auto"/>
            </w:pPr>
          </w:p>
        </w:tc>
      </w:tr>
      <w:tr w:rsidR="00C33A41" w14:paraId="501CDB71" w14:textId="77777777">
        <w:tc>
          <w:tcPr>
            <w:tcW w:w="7656" w:type="dxa"/>
          </w:tcPr>
          <w:p w14:paraId="0F70B15E" w14:textId="77777777" w:rsidR="00C33A41" w:rsidRDefault="00C33A41">
            <w:pPr>
              <w:spacing w:after="120" w:line="276" w:lineRule="auto"/>
            </w:pPr>
          </w:p>
        </w:tc>
        <w:tc>
          <w:tcPr>
            <w:tcW w:w="838" w:type="dxa"/>
          </w:tcPr>
          <w:p w14:paraId="71511EF0" w14:textId="77777777" w:rsidR="00C33A41" w:rsidRDefault="00C33A41">
            <w:pPr>
              <w:spacing w:after="120" w:line="276" w:lineRule="auto"/>
            </w:pPr>
          </w:p>
        </w:tc>
      </w:tr>
      <w:tr w:rsidR="00C33A41" w14:paraId="35A5F32C" w14:textId="77777777">
        <w:tc>
          <w:tcPr>
            <w:tcW w:w="7656" w:type="dxa"/>
          </w:tcPr>
          <w:p w14:paraId="7E1B5A6F" w14:textId="77777777" w:rsidR="00C33A41" w:rsidRDefault="00C33A41">
            <w:pPr>
              <w:spacing w:after="120" w:line="276" w:lineRule="auto"/>
            </w:pPr>
          </w:p>
        </w:tc>
        <w:tc>
          <w:tcPr>
            <w:tcW w:w="838" w:type="dxa"/>
          </w:tcPr>
          <w:p w14:paraId="7A69531A" w14:textId="77777777" w:rsidR="00C33A41" w:rsidRDefault="00C33A41">
            <w:pPr>
              <w:spacing w:after="120" w:line="276" w:lineRule="auto"/>
            </w:pPr>
          </w:p>
        </w:tc>
      </w:tr>
      <w:tr w:rsidR="00C33A41" w14:paraId="5E0B0FCA" w14:textId="77777777">
        <w:tc>
          <w:tcPr>
            <w:tcW w:w="7656" w:type="dxa"/>
          </w:tcPr>
          <w:p w14:paraId="3A6EBA06" w14:textId="77777777" w:rsidR="00C33A41" w:rsidRDefault="00C33A41">
            <w:pPr>
              <w:spacing w:after="120" w:line="276" w:lineRule="auto"/>
            </w:pPr>
          </w:p>
        </w:tc>
        <w:tc>
          <w:tcPr>
            <w:tcW w:w="838" w:type="dxa"/>
          </w:tcPr>
          <w:p w14:paraId="44E34641" w14:textId="77777777" w:rsidR="00C33A41" w:rsidRDefault="00C33A41">
            <w:pPr>
              <w:spacing w:after="120" w:line="276" w:lineRule="auto"/>
            </w:pPr>
          </w:p>
        </w:tc>
      </w:tr>
      <w:tr w:rsidR="00C33A41" w14:paraId="7E6632D8" w14:textId="77777777">
        <w:tc>
          <w:tcPr>
            <w:tcW w:w="7656" w:type="dxa"/>
          </w:tcPr>
          <w:p w14:paraId="6969B2F7" w14:textId="77777777" w:rsidR="00C33A41" w:rsidRDefault="00C33A41">
            <w:pPr>
              <w:spacing w:after="120" w:line="276" w:lineRule="auto"/>
            </w:pPr>
          </w:p>
        </w:tc>
        <w:tc>
          <w:tcPr>
            <w:tcW w:w="838" w:type="dxa"/>
          </w:tcPr>
          <w:p w14:paraId="17038DDE" w14:textId="77777777" w:rsidR="00C33A41" w:rsidRDefault="00C33A41">
            <w:pPr>
              <w:spacing w:after="120" w:line="276" w:lineRule="auto"/>
            </w:pPr>
          </w:p>
        </w:tc>
      </w:tr>
      <w:tr w:rsidR="00C33A41" w14:paraId="6DCB45C2" w14:textId="77777777">
        <w:tc>
          <w:tcPr>
            <w:tcW w:w="7656" w:type="dxa"/>
          </w:tcPr>
          <w:p w14:paraId="31B98753" w14:textId="77777777" w:rsidR="00C33A41" w:rsidRDefault="00C33A41">
            <w:pPr>
              <w:spacing w:after="120" w:line="276" w:lineRule="auto"/>
            </w:pPr>
          </w:p>
        </w:tc>
        <w:tc>
          <w:tcPr>
            <w:tcW w:w="838" w:type="dxa"/>
          </w:tcPr>
          <w:p w14:paraId="3589428F" w14:textId="77777777" w:rsidR="00C33A41" w:rsidRDefault="00C33A41">
            <w:pPr>
              <w:spacing w:after="120" w:line="276" w:lineRule="auto"/>
            </w:pPr>
          </w:p>
        </w:tc>
      </w:tr>
    </w:tbl>
    <w:p w14:paraId="2A400D34" w14:textId="77777777" w:rsidR="00C33A41" w:rsidRDefault="00C33A41">
      <w:pPr>
        <w:spacing w:line="276" w:lineRule="auto"/>
      </w:pPr>
    </w:p>
    <w:p w14:paraId="764742C1" w14:textId="77777777" w:rsidR="00C33A41" w:rsidRDefault="00C33A41"/>
    <w:p w14:paraId="26D8CF2A" w14:textId="77777777" w:rsidR="00C33A41" w:rsidRDefault="007B3952">
      <w:pPr>
        <w:spacing w:line="360" w:lineRule="auto"/>
        <w:ind w:firstLine="708"/>
      </w:pPr>
      <w:r>
        <w:t xml:space="preserve">Agora, por favor, levando em conta o conteúdo que você acabou de recordar, preencha o questionário a seguir. Para cada frase, selecione a opção que melhor representa </w:t>
      </w:r>
      <w:r>
        <w:lastRenderedPageBreak/>
        <w:t>o quanto você concorda com cada afirmação. As suas respostas podem variar de “discordo totalmente” a “concordo totalmente”. Para as frases relacionadas com objetivos para o futuro, tente visualizar os objetivos que você listou como um todo. Se isso não for possível, tenha em mente os objetivos mais importantes que você tem no momento.</w:t>
      </w:r>
    </w:p>
    <w:p w14:paraId="66904B0F" w14:textId="77777777" w:rsidR="00C33A41" w:rsidRDefault="00C33A41">
      <w:pPr>
        <w:spacing w:line="276" w:lineRule="auto"/>
      </w:pPr>
    </w:p>
    <w:tbl>
      <w:tblPr>
        <w:tblStyle w:val="af6"/>
        <w:tblW w:w="10626"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746"/>
        <w:gridCol w:w="982"/>
        <w:gridCol w:w="983"/>
        <w:gridCol w:w="983"/>
        <w:gridCol w:w="983"/>
        <w:gridCol w:w="983"/>
        <w:gridCol w:w="983"/>
        <w:gridCol w:w="983"/>
      </w:tblGrid>
      <w:tr w:rsidR="00C33A41" w14:paraId="0456448D" w14:textId="77777777">
        <w:trPr>
          <w:jc w:val="center"/>
        </w:trPr>
        <w:tc>
          <w:tcPr>
            <w:tcW w:w="3746" w:type="dxa"/>
          </w:tcPr>
          <w:p w14:paraId="489C5F42" w14:textId="77777777" w:rsidR="00C33A41" w:rsidRDefault="00C33A41">
            <w:pPr>
              <w:ind w:firstLine="0"/>
            </w:pPr>
          </w:p>
        </w:tc>
        <w:tc>
          <w:tcPr>
            <w:tcW w:w="982" w:type="dxa"/>
            <w:vAlign w:val="center"/>
          </w:tcPr>
          <w:p w14:paraId="31FF3487" w14:textId="77777777" w:rsidR="00C33A41" w:rsidRDefault="007B3952">
            <w:pPr>
              <w:ind w:firstLine="0"/>
              <w:jc w:val="center"/>
              <w:rPr>
                <w:sz w:val="18"/>
                <w:szCs w:val="18"/>
              </w:rPr>
            </w:pPr>
            <w:r>
              <w:rPr>
                <w:sz w:val="18"/>
                <w:szCs w:val="18"/>
              </w:rPr>
              <w:t>Discordo totalmente</w:t>
            </w:r>
          </w:p>
        </w:tc>
        <w:tc>
          <w:tcPr>
            <w:tcW w:w="983" w:type="dxa"/>
            <w:vAlign w:val="center"/>
          </w:tcPr>
          <w:p w14:paraId="268EF8CF" w14:textId="77777777" w:rsidR="00C33A41" w:rsidRDefault="007B3952">
            <w:pPr>
              <w:ind w:firstLine="0"/>
              <w:jc w:val="center"/>
              <w:rPr>
                <w:sz w:val="18"/>
                <w:szCs w:val="18"/>
              </w:rPr>
            </w:pPr>
            <w:r>
              <w:rPr>
                <w:sz w:val="18"/>
                <w:szCs w:val="18"/>
              </w:rPr>
              <w:t>Discordo</w:t>
            </w:r>
          </w:p>
        </w:tc>
        <w:tc>
          <w:tcPr>
            <w:tcW w:w="983" w:type="dxa"/>
            <w:vAlign w:val="center"/>
          </w:tcPr>
          <w:p w14:paraId="55EBE7E7" w14:textId="77777777" w:rsidR="00C33A41" w:rsidRDefault="007B3952">
            <w:pPr>
              <w:ind w:firstLine="0"/>
              <w:jc w:val="center"/>
              <w:rPr>
                <w:sz w:val="18"/>
                <w:szCs w:val="18"/>
              </w:rPr>
            </w:pPr>
            <w:r>
              <w:rPr>
                <w:sz w:val="18"/>
                <w:szCs w:val="18"/>
              </w:rPr>
              <w:t>Discordo um pouco</w:t>
            </w:r>
          </w:p>
        </w:tc>
        <w:tc>
          <w:tcPr>
            <w:tcW w:w="983" w:type="dxa"/>
            <w:vAlign w:val="center"/>
          </w:tcPr>
          <w:p w14:paraId="562C666D" w14:textId="77777777" w:rsidR="00C33A41" w:rsidRDefault="007B3952">
            <w:pPr>
              <w:ind w:firstLine="0"/>
              <w:jc w:val="center"/>
              <w:rPr>
                <w:sz w:val="18"/>
                <w:szCs w:val="18"/>
              </w:rPr>
            </w:pPr>
            <w:r>
              <w:rPr>
                <w:sz w:val="18"/>
                <w:szCs w:val="18"/>
              </w:rPr>
              <w:t>Não concordo nem discordo</w:t>
            </w:r>
          </w:p>
        </w:tc>
        <w:tc>
          <w:tcPr>
            <w:tcW w:w="983" w:type="dxa"/>
            <w:vAlign w:val="center"/>
          </w:tcPr>
          <w:p w14:paraId="006257D1" w14:textId="77777777" w:rsidR="00C33A41" w:rsidRDefault="007B3952">
            <w:pPr>
              <w:ind w:firstLine="0"/>
              <w:jc w:val="center"/>
              <w:rPr>
                <w:sz w:val="18"/>
                <w:szCs w:val="18"/>
              </w:rPr>
            </w:pPr>
            <w:r>
              <w:rPr>
                <w:sz w:val="18"/>
                <w:szCs w:val="18"/>
              </w:rPr>
              <w:t>Concordo um pouco</w:t>
            </w:r>
          </w:p>
        </w:tc>
        <w:tc>
          <w:tcPr>
            <w:tcW w:w="983" w:type="dxa"/>
            <w:vAlign w:val="center"/>
          </w:tcPr>
          <w:p w14:paraId="57CF95D6" w14:textId="77777777" w:rsidR="00C33A41" w:rsidRDefault="007B3952">
            <w:pPr>
              <w:ind w:firstLine="0"/>
              <w:jc w:val="center"/>
              <w:rPr>
                <w:sz w:val="18"/>
                <w:szCs w:val="18"/>
              </w:rPr>
            </w:pPr>
            <w:r>
              <w:rPr>
                <w:sz w:val="18"/>
                <w:szCs w:val="18"/>
              </w:rPr>
              <w:t>Concordo</w:t>
            </w:r>
          </w:p>
        </w:tc>
        <w:tc>
          <w:tcPr>
            <w:tcW w:w="983" w:type="dxa"/>
            <w:vAlign w:val="center"/>
          </w:tcPr>
          <w:p w14:paraId="51B41353" w14:textId="77777777" w:rsidR="00C33A41" w:rsidRDefault="007B3952">
            <w:pPr>
              <w:ind w:firstLine="0"/>
              <w:jc w:val="center"/>
              <w:rPr>
                <w:sz w:val="18"/>
                <w:szCs w:val="18"/>
              </w:rPr>
            </w:pPr>
            <w:r>
              <w:rPr>
                <w:sz w:val="18"/>
                <w:szCs w:val="18"/>
              </w:rPr>
              <w:t>Concordo totalmente</w:t>
            </w:r>
          </w:p>
        </w:tc>
      </w:tr>
      <w:tr w:rsidR="00C33A41" w14:paraId="6FCF68A7" w14:textId="77777777">
        <w:trPr>
          <w:jc w:val="center"/>
        </w:trPr>
        <w:tc>
          <w:tcPr>
            <w:tcW w:w="3746" w:type="dxa"/>
          </w:tcPr>
          <w:p w14:paraId="7C909030" w14:textId="77777777" w:rsidR="00C33A41" w:rsidRDefault="007B3952">
            <w:pPr>
              <w:pBdr>
                <w:top w:val="nil"/>
                <w:left w:val="nil"/>
                <w:bottom w:val="nil"/>
                <w:right w:val="nil"/>
                <w:between w:val="nil"/>
              </w:pBdr>
              <w:ind w:firstLine="0"/>
            </w:pPr>
            <w:r>
              <w:t>Sei o que quero para a minha vida no futuro</w:t>
            </w:r>
          </w:p>
        </w:tc>
        <w:tc>
          <w:tcPr>
            <w:tcW w:w="982" w:type="dxa"/>
          </w:tcPr>
          <w:p w14:paraId="50F87FC4" w14:textId="77777777" w:rsidR="00C33A41" w:rsidRDefault="00C33A41">
            <w:pPr>
              <w:jc w:val="center"/>
            </w:pPr>
          </w:p>
        </w:tc>
        <w:tc>
          <w:tcPr>
            <w:tcW w:w="983" w:type="dxa"/>
          </w:tcPr>
          <w:p w14:paraId="684A657B" w14:textId="77777777" w:rsidR="00C33A41" w:rsidRDefault="00C33A41">
            <w:pPr>
              <w:jc w:val="center"/>
            </w:pPr>
          </w:p>
        </w:tc>
        <w:tc>
          <w:tcPr>
            <w:tcW w:w="983" w:type="dxa"/>
          </w:tcPr>
          <w:p w14:paraId="09241360" w14:textId="77777777" w:rsidR="00C33A41" w:rsidRDefault="00C33A41">
            <w:pPr>
              <w:jc w:val="center"/>
            </w:pPr>
          </w:p>
        </w:tc>
        <w:tc>
          <w:tcPr>
            <w:tcW w:w="983" w:type="dxa"/>
          </w:tcPr>
          <w:p w14:paraId="48080EBC" w14:textId="77777777" w:rsidR="00C33A41" w:rsidRDefault="00C33A41">
            <w:pPr>
              <w:jc w:val="center"/>
            </w:pPr>
          </w:p>
        </w:tc>
        <w:tc>
          <w:tcPr>
            <w:tcW w:w="983" w:type="dxa"/>
          </w:tcPr>
          <w:p w14:paraId="782A195C" w14:textId="77777777" w:rsidR="00C33A41" w:rsidRDefault="00C33A41">
            <w:pPr>
              <w:jc w:val="center"/>
            </w:pPr>
          </w:p>
        </w:tc>
        <w:tc>
          <w:tcPr>
            <w:tcW w:w="983" w:type="dxa"/>
          </w:tcPr>
          <w:p w14:paraId="021BE12D" w14:textId="77777777" w:rsidR="00C33A41" w:rsidRDefault="00C33A41">
            <w:pPr>
              <w:jc w:val="center"/>
            </w:pPr>
          </w:p>
        </w:tc>
        <w:tc>
          <w:tcPr>
            <w:tcW w:w="983" w:type="dxa"/>
          </w:tcPr>
          <w:p w14:paraId="029A2D7B" w14:textId="77777777" w:rsidR="00C33A41" w:rsidRDefault="00C33A41">
            <w:pPr>
              <w:jc w:val="center"/>
            </w:pPr>
          </w:p>
        </w:tc>
      </w:tr>
      <w:tr w:rsidR="00C33A41" w14:paraId="2B6F97B2" w14:textId="77777777">
        <w:trPr>
          <w:jc w:val="center"/>
        </w:trPr>
        <w:tc>
          <w:tcPr>
            <w:tcW w:w="3746" w:type="dxa"/>
          </w:tcPr>
          <w:p w14:paraId="02EEBC83" w14:textId="77777777" w:rsidR="00C33A41" w:rsidRDefault="007B3952">
            <w:pPr>
              <w:pBdr>
                <w:top w:val="nil"/>
                <w:left w:val="nil"/>
                <w:bottom w:val="nil"/>
                <w:right w:val="nil"/>
                <w:between w:val="nil"/>
              </w:pBdr>
              <w:ind w:firstLine="0"/>
            </w:pPr>
            <w:r>
              <w:t>Estou investindo bastante tempo em ações relacionadas com os meus objetivos para o futuro</w:t>
            </w:r>
          </w:p>
        </w:tc>
        <w:tc>
          <w:tcPr>
            <w:tcW w:w="982" w:type="dxa"/>
          </w:tcPr>
          <w:p w14:paraId="1BC2A45D" w14:textId="77777777" w:rsidR="00C33A41" w:rsidRDefault="00C33A41">
            <w:pPr>
              <w:jc w:val="center"/>
            </w:pPr>
          </w:p>
        </w:tc>
        <w:tc>
          <w:tcPr>
            <w:tcW w:w="983" w:type="dxa"/>
          </w:tcPr>
          <w:p w14:paraId="1528552A" w14:textId="77777777" w:rsidR="00C33A41" w:rsidRDefault="00C33A41">
            <w:pPr>
              <w:jc w:val="center"/>
            </w:pPr>
          </w:p>
        </w:tc>
        <w:tc>
          <w:tcPr>
            <w:tcW w:w="983" w:type="dxa"/>
          </w:tcPr>
          <w:p w14:paraId="4757DA6A" w14:textId="77777777" w:rsidR="00C33A41" w:rsidRDefault="00C33A41">
            <w:pPr>
              <w:jc w:val="center"/>
            </w:pPr>
          </w:p>
        </w:tc>
        <w:tc>
          <w:tcPr>
            <w:tcW w:w="983" w:type="dxa"/>
          </w:tcPr>
          <w:p w14:paraId="1062EA27" w14:textId="77777777" w:rsidR="00C33A41" w:rsidRDefault="00C33A41">
            <w:pPr>
              <w:jc w:val="center"/>
            </w:pPr>
          </w:p>
        </w:tc>
        <w:tc>
          <w:tcPr>
            <w:tcW w:w="983" w:type="dxa"/>
          </w:tcPr>
          <w:p w14:paraId="3DBDA53F" w14:textId="77777777" w:rsidR="00C33A41" w:rsidRDefault="00C33A41">
            <w:pPr>
              <w:jc w:val="center"/>
            </w:pPr>
          </w:p>
        </w:tc>
        <w:tc>
          <w:tcPr>
            <w:tcW w:w="983" w:type="dxa"/>
          </w:tcPr>
          <w:p w14:paraId="2F793BE0" w14:textId="77777777" w:rsidR="00C33A41" w:rsidRDefault="00C33A41">
            <w:pPr>
              <w:jc w:val="center"/>
            </w:pPr>
          </w:p>
        </w:tc>
        <w:tc>
          <w:tcPr>
            <w:tcW w:w="983" w:type="dxa"/>
          </w:tcPr>
          <w:p w14:paraId="58FADFFB" w14:textId="77777777" w:rsidR="00C33A41" w:rsidRDefault="00C33A41">
            <w:pPr>
              <w:jc w:val="center"/>
            </w:pPr>
          </w:p>
        </w:tc>
      </w:tr>
      <w:tr w:rsidR="00C33A41" w14:paraId="683DC900" w14:textId="77777777">
        <w:trPr>
          <w:jc w:val="center"/>
        </w:trPr>
        <w:tc>
          <w:tcPr>
            <w:tcW w:w="3746" w:type="dxa"/>
          </w:tcPr>
          <w:p w14:paraId="731B56A3" w14:textId="77777777" w:rsidR="00C33A41" w:rsidRDefault="007B3952">
            <w:pPr>
              <w:ind w:firstLine="0"/>
            </w:pPr>
            <w:r>
              <w:t>Tenho objetivos claros para o que quero alcançar na vida</w:t>
            </w:r>
          </w:p>
        </w:tc>
        <w:tc>
          <w:tcPr>
            <w:tcW w:w="982" w:type="dxa"/>
          </w:tcPr>
          <w:p w14:paraId="7AD79649" w14:textId="77777777" w:rsidR="00C33A41" w:rsidRDefault="00C33A41">
            <w:pPr>
              <w:jc w:val="center"/>
            </w:pPr>
          </w:p>
        </w:tc>
        <w:tc>
          <w:tcPr>
            <w:tcW w:w="983" w:type="dxa"/>
          </w:tcPr>
          <w:p w14:paraId="3BAD5E17" w14:textId="77777777" w:rsidR="00C33A41" w:rsidRDefault="00C33A41">
            <w:pPr>
              <w:jc w:val="center"/>
            </w:pPr>
          </w:p>
        </w:tc>
        <w:tc>
          <w:tcPr>
            <w:tcW w:w="983" w:type="dxa"/>
          </w:tcPr>
          <w:p w14:paraId="04FF5DAB" w14:textId="77777777" w:rsidR="00C33A41" w:rsidRDefault="00C33A41">
            <w:pPr>
              <w:jc w:val="center"/>
            </w:pPr>
          </w:p>
        </w:tc>
        <w:tc>
          <w:tcPr>
            <w:tcW w:w="983" w:type="dxa"/>
          </w:tcPr>
          <w:p w14:paraId="53B91D45" w14:textId="77777777" w:rsidR="00C33A41" w:rsidRDefault="00C33A41">
            <w:pPr>
              <w:jc w:val="center"/>
            </w:pPr>
          </w:p>
        </w:tc>
        <w:tc>
          <w:tcPr>
            <w:tcW w:w="983" w:type="dxa"/>
          </w:tcPr>
          <w:p w14:paraId="7FA4CA16" w14:textId="77777777" w:rsidR="00C33A41" w:rsidRDefault="00C33A41">
            <w:pPr>
              <w:jc w:val="center"/>
            </w:pPr>
          </w:p>
        </w:tc>
        <w:tc>
          <w:tcPr>
            <w:tcW w:w="983" w:type="dxa"/>
          </w:tcPr>
          <w:p w14:paraId="6FE9AF04" w14:textId="77777777" w:rsidR="00C33A41" w:rsidRDefault="00C33A41">
            <w:pPr>
              <w:jc w:val="center"/>
            </w:pPr>
          </w:p>
        </w:tc>
        <w:tc>
          <w:tcPr>
            <w:tcW w:w="983" w:type="dxa"/>
          </w:tcPr>
          <w:p w14:paraId="72EC2469" w14:textId="77777777" w:rsidR="00C33A41" w:rsidRDefault="00C33A41">
            <w:pPr>
              <w:jc w:val="center"/>
            </w:pPr>
          </w:p>
        </w:tc>
      </w:tr>
      <w:tr w:rsidR="00C33A41" w14:paraId="2DCD8758" w14:textId="77777777">
        <w:trPr>
          <w:jc w:val="center"/>
        </w:trPr>
        <w:tc>
          <w:tcPr>
            <w:tcW w:w="3746" w:type="dxa"/>
          </w:tcPr>
          <w:p w14:paraId="255504C1" w14:textId="77777777" w:rsidR="00C33A41" w:rsidRDefault="007B3952">
            <w:pPr>
              <w:ind w:firstLine="0"/>
            </w:pPr>
            <w:r>
              <w:t>Estou me esforçando para alcançar o que quero para o futuro</w:t>
            </w:r>
          </w:p>
        </w:tc>
        <w:tc>
          <w:tcPr>
            <w:tcW w:w="982" w:type="dxa"/>
          </w:tcPr>
          <w:p w14:paraId="49A42E57" w14:textId="77777777" w:rsidR="00C33A41" w:rsidRDefault="00C33A41">
            <w:pPr>
              <w:jc w:val="center"/>
            </w:pPr>
          </w:p>
        </w:tc>
        <w:tc>
          <w:tcPr>
            <w:tcW w:w="983" w:type="dxa"/>
          </w:tcPr>
          <w:p w14:paraId="3A928B5C" w14:textId="77777777" w:rsidR="00C33A41" w:rsidRDefault="00C33A41">
            <w:pPr>
              <w:jc w:val="center"/>
            </w:pPr>
          </w:p>
        </w:tc>
        <w:tc>
          <w:tcPr>
            <w:tcW w:w="983" w:type="dxa"/>
          </w:tcPr>
          <w:p w14:paraId="22F91467" w14:textId="77777777" w:rsidR="00C33A41" w:rsidRDefault="00C33A41">
            <w:pPr>
              <w:jc w:val="center"/>
            </w:pPr>
          </w:p>
        </w:tc>
        <w:tc>
          <w:tcPr>
            <w:tcW w:w="983" w:type="dxa"/>
          </w:tcPr>
          <w:p w14:paraId="48906DF0" w14:textId="77777777" w:rsidR="00C33A41" w:rsidRDefault="00C33A41">
            <w:pPr>
              <w:jc w:val="center"/>
            </w:pPr>
          </w:p>
        </w:tc>
        <w:tc>
          <w:tcPr>
            <w:tcW w:w="983" w:type="dxa"/>
          </w:tcPr>
          <w:p w14:paraId="67D664B4" w14:textId="77777777" w:rsidR="00C33A41" w:rsidRDefault="00C33A41">
            <w:pPr>
              <w:jc w:val="center"/>
            </w:pPr>
          </w:p>
        </w:tc>
        <w:tc>
          <w:tcPr>
            <w:tcW w:w="983" w:type="dxa"/>
          </w:tcPr>
          <w:p w14:paraId="26E24966" w14:textId="77777777" w:rsidR="00C33A41" w:rsidRDefault="00C33A41">
            <w:pPr>
              <w:jc w:val="center"/>
            </w:pPr>
          </w:p>
        </w:tc>
        <w:tc>
          <w:tcPr>
            <w:tcW w:w="983" w:type="dxa"/>
          </w:tcPr>
          <w:p w14:paraId="52269922" w14:textId="77777777" w:rsidR="00C33A41" w:rsidRDefault="00C33A41">
            <w:pPr>
              <w:jc w:val="center"/>
            </w:pPr>
          </w:p>
        </w:tc>
      </w:tr>
      <w:tr w:rsidR="00C33A41" w14:paraId="7851088D" w14:textId="77777777">
        <w:trPr>
          <w:jc w:val="center"/>
        </w:trPr>
        <w:tc>
          <w:tcPr>
            <w:tcW w:w="3746" w:type="dxa"/>
          </w:tcPr>
          <w:p w14:paraId="40CDF437" w14:textId="77777777" w:rsidR="00C33A41" w:rsidRDefault="007B3952">
            <w:pPr>
              <w:ind w:firstLine="0"/>
            </w:pPr>
            <w:r>
              <w:t>Tenho uma ideia clara sobre a pessoa que desejo ser no futuro</w:t>
            </w:r>
          </w:p>
        </w:tc>
        <w:tc>
          <w:tcPr>
            <w:tcW w:w="982" w:type="dxa"/>
          </w:tcPr>
          <w:p w14:paraId="381EB321" w14:textId="77777777" w:rsidR="00C33A41" w:rsidRDefault="00C33A41">
            <w:pPr>
              <w:jc w:val="center"/>
            </w:pPr>
          </w:p>
        </w:tc>
        <w:tc>
          <w:tcPr>
            <w:tcW w:w="983" w:type="dxa"/>
          </w:tcPr>
          <w:p w14:paraId="0CCAC7F7" w14:textId="77777777" w:rsidR="00C33A41" w:rsidRDefault="00C33A41">
            <w:pPr>
              <w:jc w:val="center"/>
            </w:pPr>
          </w:p>
        </w:tc>
        <w:tc>
          <w:tcPr>
            <w:tcW w:w="983" w:type="dxa"/>
          </w:tcPr>
          <w:p w14:paraId="5A661370" w14:textId="77777777" w:rsidR="00C33A41" w:rsidRDefault="00C33A41">
            <w:pPr>
              <w:jc w:val="center"/>
            </w:pPr>
          </w:p>
        </w:tc>
        <w:tc>
          <w:tcPr>
            <w:tcW w:w="983" w:type="dxa"/>
          </w:tcPr>
          <w:p w14:paraId="19049F2F" w14:textId="77777777" w:rsidR="00C33A41" w:rsidRDefault="00C33A41">
            <w:pPr>
              <w:jc w:val="center"/>
            </w:pPr>
          </w:p>
        </w:tc>
        <w:tc>
          <w:tcPr>
            <w:tcW w:w="983" w:type="dxa"/>
          </w:tcPr>
          <w:p w14:paraId="615B8C57" w14:textId="77777777" w:rsidR="00C33A41" w:rsidRDefault="00C33A41">
            <w:pPr>
              <w:jc w:val="center"/>
            </w:pPr>
          </w:p>
        </w:tc>
        <w:tc>
          <w:tcPr>
            <w:tcW w:w="983" w:type="dxa"/>
          </w:tcPr>
          <w:p w14:paraId="1023BD46" w14:textId="77777777" w:rsidR="00C33A41" w:rsidRDefault="00C33A41">
            <w:pPr>
              <w:jc w:val="center"/>
            </w:pPr>
          </w:p>
        </w:tc>
        <w:tc>
          <w:tcPr>
            <w:tcW w:w="983" w:type="dxa"/>
          </w:tcPr>
          <w:p w14:paraId="4620EDD6" w14:textId="77777777" w:rsidR="00C33A41" w:rsidRDefault="00C33A41">
            <w:pPr>
              <w:jc w:val="center"/>
            </w:pPr>
          </w:p>
        </w:tc>
      </w:tr>
      <w:tr w:rsidR="00C33A41" w14:paraId="15BEE2EC" w14:textId="77777777">
        <w:trPr>
          <w:jc w:val="center"/>
        </w:trPr>
        <w:tc>
          <w:tcPr>
            <w:tcW w:w="3746" w:type="dxa"/>
          </w:tcPr>
          <w:p w14:paraId="57C1F2F2" w14:textId="77777777" w:rsidR="00C33A41" w:rsidRDefault="007B3952">
            <w:pPr>
              <w:ind w:firstLine="0"/>
            </w:pPr>
            <w:r>
              <w:t>Já comecei a pôr em prática os meus planos para o futuro</w:t>
            </w:r>
          </w:p>
        </w:tc>
        <w:tc>
          <w:tcPr>
            <w:tcW w:w="982" w:type="dxa"/>
          </w:tcPr>
          <w:p w14:paraId="46921324" w14:textId="77777777" w:rsidR="00C33A41" w:rsidRDefault="00C33A41">
            <w:pPr>
              <w:jc w:val="center"/>
            </w:pPr>
          </w:p>
        </w:tc>
        <w:tc>
          <w:tcPr>
            <w:tcW w:w="983" w:type="dxa"/>
          </w:tcPr>
          <w:p w14:paraId="6CF53520" w14:textId="77777777" w:rsidR="00C33A41" w:rsidRDefault="00C33A41">
            <w:pPr>
              <w:jc w:val="center"/>
            </w:pPr>
          </w:p>
        </w:tc>
        <w:tc>
          <w:tcPr>
            <w:tcW w:w="983" w:type="dxa"/>
          </w:tcPr>
          <w:p w14:paraId="1603FFCB" w14:textId="77777777" w:rsidR="00C33A41" w:rsidRDefault="00C33A41">
            <w:pPr>
              <w:jc w:val="center"/>
            </w:pPr>
          </w:p>
        </w:tc>
        <w:tc>
          <w:tcPr>
            <w:tcW w:w="983" w:type="dxa"/>
          </w:tcPr>
          <w:p w14:paraId="3278C944" w14:textId="77777777" w:rsidR="00C33A41" w:rsidRDefault="00C33A41">
            <w:pPr>
              <w:jc w:val="center"/>
            </w:pPr>
          </w:p>
        </w:tc>
        <w:tc>
          <w:tcPr>
            <w:tcW w:w="983" w:type="dxa"/>
          </w:tcPr>
          <w:p w14:paraId="5ECE0A38" w14:textId="77777777" w:rsidR="00C33A41" w:rsidRDefault="00C33A41">
            <w:pPr>
              <w:jc w:val="center"/>
            </w:pPr>
          </w:p>
        </w:tc>
        <w:tc>
          <w:tcPr>
            <w:tcW w:w="983" w:type="dxa"/>
          </w:tcPr>
          <w:p w14:paraId="216B025A" w14:textId="77777777" w:rsidR="00C33A41" w:rsidRDefault="00C33A41">
            <w:pPr>
              <w:jc w:val="center"/>
            </w:pPr>
          </w:p>
        </w:tc>
        <w:tc>
          <w:tcPr>
            <w:tcW w:w="983" w:type="dxa"/>
          </w:tcPr>
          <w:p w14:paraId="214601C7" w14:textId="77777777" w:rsidR="00C33A41" w:rsidRDefault="00C33A41">
            <w:pPr>
              <w:jc w:val="center"/>
            </w:pPr>
          </w:p>
        </w:tc>
      </w:tr>
      <w:tr w:rsidR="00C33A41" w14:paraId="19E69FD2" w14:textId="77777777">
        <w:trPr>
          <w:jc w:val="center"/>
        </w:trPr>
        <w:tc>
          <w:tcPr>
            <w:tcW w:w="3746" w:type="dxa"/>
          </w:tcPr>
          <w:p w14:paraId="571430FA" w14:textId="77777777" w:rsidR="00C33A41" w:rsidRDefault="007B3952">
            <w:pPr>
              <w:ind w:firstLine="0"/>
            </w:pPr>
            <w:r>
              <w:t>Já decidi o que fazer com a minha vida no futuro</w:t>
            </w:r>
          </w:p>
        </w:tc>
        <w:tc>
          <w:tcPr>
            <w:tcW w:w="982" w:type="dxa"/>
          </w:tcPr>
          <w:p w14:paraId="3CA7DE55" w14:textId="77777777" w:rsidR="00C33A41" w:rsidRDefault="00C33A41">
            <w:pPr>
              <w:jc w:val="center"/>
            </w:pPr>
          </w:p>
        </w:tc>
        <w:tc>
          <w:tcPr>
            <w:tcW w:w="983" w:type="dxa"/>
          </w:tcPr>
          <w:p w14:paraId="0F0931DB" w14:textId="77777777" w:rsidR="00C33A41" w:rsidRDefault="00C33A41">
            <w:pPr>
              <w:jc w:val="center"/>
            </w:pPr>
          </w:p>
        </w:tc>
        <w:tc>
          <w:tcPr>
            <w:tcW w:w="983" w:type="dxa"/>
          </w:tcPr>
          <w:p w14:paraId="6ECA6344" w14:textId="77777777" w:rsidR="00C33A41" w:rsidRDefault="00C33A41">
            <w:pPr>
              <w:jc w:val="center"/>
            </w:pPr>
          </w:p>
        </w:tc>
        <w:tc>
          <w:tcPr>
            <w:tcW w:w="983" w:type="dxa"/>
          </w:tcPr>
          <w:p w14:paraId="654F1732" w14:textId="77777777" w:rsidR="00C33A41" w:rsidRDefault="00C33A41">
            <w:pPr>
              <w:jc w:val="center"/>
            </w:pPr>
          </w:p>
        </w:tc>
        <w:tc>
          <w:tcPr>
            <w:tcW w:w="983" w:type="dxa"/>
          </w:tcPr>
          <w:p w14:paraId="2639BDCB" w14:textId="77777777" w:rsidR="00C33A41" w:rsidRDefault="00C33A41">
            <w:pPr>
              <w:jc w:val="center"/>
            </w:pPr>
          </w:p>
        </w:tc>
        <w:tc>
          <w:tcPr>
            <w:tcW w:w="983" w:type="dxa"/>
          </w:tcPr>
          <w:p w14:paraId="1032EC6A" w14:textId="77777777" w:rsidR="00C33A41" w:rsidRDefault="00C33A41">
            <w:pPr>
              <w:jc w:val="center"/>
            </w:pPr>
          </w:p>
        </w:tc>
        <w:tc>
          <w:tcPr>
            <w:tcW w:w="983" w:type="dxa"/>
          </w:tcPr>
          <w:p w14:paraId="0CA465EB" w14:textId="77777777" w:rsidR="00C33A41" w:rsidRDefault="00C33A41">
            <w:pPr>
              <w:jc w:val="center"/>
            </w:pPr>
          </w:p>
        </w:tc>
      </w:tr>
      <w:tr w:rsidR="00C33A41" w14:paraId="12D87AB4" w14:textId="77777777">
        <w:trPr>
          <w:jc w:val="center"/>
        </w:trPr>
        <w:tc>
          <w:tcPr>
            <w:tcW w:w="3746" w:type="dxa"/>
          </w:tcPr>
          <w:p w14:paraId="3F8DFEA6" w14:textId="77777777" w:rsidR="00C33A41" w:rsidRDefault="007B3952">
            <w:pPr>
              <w:ind w:firstLine="0"/>
            </w:pPr>
            <w:r>
              <w:t>Estou envolvido em atividades para alcançar os meus objetivos para o futuro</w:t>
            </w:r>
          </w:p>
        </w:tc>
        <w:tc>
          <w:tcPr>
            <w:tcW w:w="982" w:type="dxa"/>
          </w:tcPr>
          <w:p w14:paraId="456F0B75" w14:textId="77777777" w:rsidR="00C33A41" w:rsidRDefault="00C33A41">
            <w:pPr>
              <w:jc w:val="center"/>
            </w:pPr>
          </w:p>
        </w:tc>
        <w:tc>
          <w:tcPr>
            <w:tcW w:w="983" w:type="dxa"/>
          </w:tcPr>
          <w:p w14:paraId="50176996" w14:textId="77777777" w:rsidR="00C33A41" w:rsidRDefault="00C33A41">
            <w:pPr>
              <w:jc w:val="center"/>
            </w:pPr>
          </w:p>
        </w:tc>
        <w:tc>
          <w:tcPr>
            <w:tcW w:w="983" w:type="dxa"/>
          </w:tcPr>
          <w:p w14:paraId="2D3A706B" w14:textId="77777777" w:rsidR="00C33A41" w:rsidRDefault="00C33A41">
            <w:pPr>
              <w:jc w:val="center"/>
            </w:pPr>
          </w:p>
        </w:tc>
        <w:tc>
          <w:tcPr>
            <w:tcW w:w="983" w:type="dxa"/>
          </w:tcPr>
          <w:p w14:paraId="35F772F1" w14:textId="77777777" w:rsidR="00C33A41" w:rsidRDefault="00C33A41">
            <w:pPr>
              <w:jc w:val="center"/>
            </w:pPr>
          </w:p>
        </w:tc>
        <w:tc>
          <w:tcPr>
            <w:tcW w:w="983" w:type="dxa"/>
          </w:tcPr>
          <w:p w14:paraId="7101589F" w14:textId="77777777" w:rsidR="00C33A41" w:rsidRDefault="00C33A41">
            <w:pPr>
              <w:jc w:val="center"/>
            </w:pPr>
          </w:p>
        </w:tc>
        <w:tc>
          <w:tcPr>
            <w:tcW w:w="983" w:type="dxa"/>
          </w:tcPr>
          <w:p w14:paraId="5BB1BA21" w14:textId="77777777" w:rsidR="00C33A41" w:rsidRDefault="00C33A41">
            <w:pPr>
              <w:jc w:val="center"/>
            </w:pPr>
          </w:p>
        </w:tc>
        <w:tc>
          <w:tcPr>
            <w:tcW w:w="983" w:type="dxa"/>
          </w:tcPr>
          <w:p w14:paraId="4C3E7342" w14:textId="77777777" w:rsidR="00C33A41" w:rsidRDefault="00C33A41">
            <w:pPr>
              <w:jc w:val="center"/>
            </w:pPr>
          </w:p>
        </w:tc>
      </w:tr>
    </w:tbl>
    <w:p w14:paraId="15E8090F" w14:textId="77777777" w:rsidR="00C33A41" w:rsidRDefault="00C33A41"/>
    <w:p w14:paraId="01B04ABC" w14:textId="77777777" w:rsidR="00C33A41" w:rsidRDefault="00C33A41"/>
    <w:p w14:paraId="632FD04F" w14:textId="77777777" w:rsidR="00C33A41" w:rsidRDefault="00C33A41"/>
    <w:p w14:paraId="3C574184" w14:textId="77777777" w:rsidR="00C33A41" w:rsidRDefault="00C33A41"/>
    <w:p w14:paraId="7A793520" w14:textId="77777777" w:rsidR="00C33A41" w:rsidRDefault="00C33A41"/>
    <w:p w14:paraId="16F7F41B" w14:textId="77777777" w:rsidR="00C33A41" w:rsidRDefault="00C33A41"/>
    <w:p w14:paraId="415C5D71" w14:textId="77777777" w:rsidR="00C33A41" w:rsidRDefault="00C33A41"/>
    <w:p w14:paraId="0F798348" w14:textId="77777777" w:rsidR="00C33A41" w:rsidRDefault="00C33A41">
      <w:pPr>
        <w:jc w:val="center"/>
        <w:rPr>
          <w:b/>
        </w:rPr>
      </w:pPr>
    </w:p>
    <w:p w14:paraId="43AE22B8" w14:textId="77777777" w:rsidR="00C33A41" w:rsidRDefault="00C33A41">
      <w:pPr>
        <w:jc w:val="center"/>
        <w:rPr>
          <w:b/>
        </w:rPr>
      </w:pPr>
    </w:p>
    <w:p w14:paraId="0A76C437" w14:textId="77777777" w:rsidR="00C33A41" w:rsidRDefault="00C33A41">
      <w:pPr>
        <w:jc w:val="center"/>
        <w:rPr>
          <w:b/>
        </w:rPr>
      </w:pPr>
    </w:p>
    <w:p w14:paraId="09521D84" w14:textId="77777777" w:rsidR="00C33A41" w:rsidRDefault="00C33A41">
      <w:pPr>
        <w:jc w:val="center"/>
        <w:rPr>
          <w:b/>
        </w:rPr>
      </w:pPr>
    </w:p>
    <w:p w14:paraId="2E4318E3" w14:textId="77777777" w:rsidR="00C33A41" w:rsidRDefault="00C33A41">
      <w:pPr>
        <w:jc w:val="center"/>
        <w:rPr>
          <w:b/>
        </w:rPr>
      </w:pPr>
    </w:p>
    <w:p w14:paraId="5F1E7E53" w14:textId="77777777" w:rsidR="00C33A41" w:rsidRDefault="007B3952">
      <w:pPr>
        <w:jc w:val="center"/>
        <w:rPr>
          <w:b/>
        </w:rPr>
      </w:pPr>
      <w:r>
        <w:rPr>
          <w:b/>
        </w:rPr>
        <w:t>ANEXO F – CONTEÚDO DA ATIVIDADE FORMATIVA DOS PESQUISADORES</w:t>
      </w:r>
    </w:p>
    <w:p w14:paraId="2FE12965" w14:textId="77777777" w:rsidR="00C33A41" w:rsidRDefault="00C33A41">
      <w:pPr>
        <w:jc w:val="center"/>
        <w:rPr>
          <w:b/>
        </w:rPr>
      </w:pPr>
    </w:p>
    <w:tbl>
      <w:tblPr>
        <w:tblStyle w:val="af7"/>
        <w:tblW w:w="849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4247"/>
      </w:tblGrid>
      <w:tr w:rsidR="00C33A41" w14:paraId="0E79304D" w14:textId="77777777">
        <w:tc>
          <w:tcPr>
            <w:tcW w:w="4247" w:type="dxa"/>
          </w:tcPr>
          <w:p w14:paraId="6BFDC91A" w14:textId="77777777" w:rsidR="00C33A41" w:rsidRDefault="007B3952">
            <w:pPr>
              <w:jc w:val="center"/>
              <w:rPr>
                <w:b/>
              </w:rPr>
            </w:pPr>
            <w:r>
              <w:rPr>
                <w:b/>
              </w:rPr>
              <w:t>Tema / Conteúdo Programático</w:t>
            </w:r>
          </w:p>
        </w:tc>
        <w:tc>
          <w:tcPr>
            <w:tcW w:w="4247" w:type="dxa"/>
          </w:tcPr>
          <w:p w14:paraId="0218DA3E" w14:textId="77777777" w:rsidR="00C33A41" w:rsidRDefault="007B3952">
            <w:pPr>
              <w:jc w:val="center"/>
              <w:rPr>
                <w:b/>
              </w:rPr>
            </w:pPr>
            <w:r>
              <w:rPr>
                <w:b/>
              </w:rPr>
              <w:t>Docentes Responsáveis</w:t>
            </w:r>
          </w:p>
        </w:tc>
      </w:tr>
      <w:tr w:rsidR="00C33A41" w14:paraId="78EA9EE0" w14:textId="77777777">
        <w:tc>
          <w:tcPr>
            <w:tcW w:w="4247" w:type="dxa"/>
          </w:tcPr>
          <w:p w14:paraId="5A3EC128" w14:textId="77777777" w:rsidR="00C33A41" w:rsidRDefault="007B3952">
            <w:pPr>
              <w:ind w:firstLine="0"/>
            </w:pPr>
            <w:r>
              <w:t>Pesquisa com adolescentes e jovens em situação de vulnerabilidade social: dimensões históricas, políticas e sociais.</w:t>
            </w:r>
          </w:p>
          <w:p w14:paraId="3484FB71" w14:textId="77777777" w:rsidR="00C33A41" w:rsidRDefault="00C33A41">
            <w:pPr>
              <w:rPr>
                <w:b/>
              </w:rPr>
            </w:pPr>
          </w:p>
        </w:tc>
        <w:tc>
          <w:tcPr>
            <w:tcW w:w="4247" w:type="dxa"/>
          </w:tcPr>
          <w:p w14:paraId="6CAEE4B5" w14:textId="77777777" w:rsidR="00C33A41" w:rsidRDefault="00C33A41">
            <w:pPr>
              <w:jc w:val="center"/>
            </w:pPr>
          </w:p>
          <w:p w14:paraId="0C88D89C" w14:textId="77777777" w:rsidR="00C33A41" w:rsidRDefault="007B3952">
            <w:pPr>
              <w:jc w:val="center"/>
              <w:rPr>
                <w:b/>
              </w:rPr>
            </w:pPr>
            <w:r>
              <w:t>Juliana Prates Santana (UFBA)</w:t>
            </w:r>
          </w:p>
        </w:tc>
      </w:tr>
      <w:tr w:rsidR="00C33A41" w14:paraId="0107B1FD" w14:textId="77777777">
        <w:tc>
          <w:tcPr>
            <w:tcW w:w="4247" w:type="dxa"/>
          </w:tcPr>
          <w:p w14:paraId="5BDDFF25" w14:textId="77777777" w:rsidR="00C33A41" w:rsidRDefault="007B3952">
            <w:pPr>
              <w:ind w:firstLine="0"/>
            </w:pPr>
            <w:r>
              <w:t>A pandemia e suas repercussões na vida de adolescentes em situação de exclusão social (em instituições de acolhimento; em situação de rua; em cumprimento de medidas socioeducativas; estudantes de escolas públicas localizadas em territórios demarcados por índices de exclusão e vulnerabilidade social.</w:t>
            </w:r>
          </w:p>
          <w:p w14:paraId="6E920D5F" w14:textId="77777777" w:rsidR="00C33A41" w:rsidRDefault="00C33A41">
            <w:pPr>
              <w:rPr>
                <w:b/>
              </w:rPr>
            </w:pPr>
          </w:p>
        </w:tc>
        <w:tc>
          <w:tcPr>
            <w:tcW w:w="4247" w:type="dxa"/>
          </w:tcPr>
          <w:p w14:paraId="7417FB08" w14:textId="77777777" w:rsidR="00C33A41" w:rsidRDefault="00C33A41">
            <w:pPr>
              <w:jc w:val="center"/>
            </w:pPr>
          </w:p>
          <w:p w14:paraId="570655F8" w14:textId="77777777" w:rsidR="00C33A41" w:rsidRDefault="00C33A41">
            <w:pPr>
              <w:jc w:val="center"/>
            </w:pPr>
          </w:p>
          <w:p w14:paraId="291CF2DF" w14:textId="77777777" w:rsidR="00C33A41" w:rsidRDefault="00C33A41">
            <w:pPr>
              <w:jc w:val="center"/>
            </w:pPr>
          </w:p>
          <w:p w14:paraId="569E1E71" w14:textId="77777777" w:rsidR="00C33A41" w:rsidRDefault="00C33A41">
            <w:pPr>
              <w:jc w:val="center"/>
            </w:pPr>
          </w:p>
          <w:p w14:paraId="0B02AF31" w14:textId="77777777" w:rsidR="00C33A41" w:rsidRDefault="007B3952">
            <w:pPr>
              <w:jc w:val="center"/>
              <w:rPr>
                <w:b/>
              </w:rPr>
            </w:pPr>
            <w:r>
              <w:t>Alex Sandro Gomes Pessoa (UFSCar)</w:t>
            </w:r>
          </w:p>
        </w:tc>
      </w:tr>
      <w:tr w:rsidR="00C33A41" w14:paraId="6D9195DB" w14:textId="77777777">
        <w:tc>
          <w:tcPr>
            <w:tcW w:w="4247" w:type="dxa"/>
          </w:tcPr>
          <w:p w14:paraId="1F43D974" w14:textId="77777777" w:rsidR="00C33A41" w:rsidRDefault="007B3952">
            <w:pPr>
              <w:ind w:firstLine="0"/>
            </w:pPr>
            <w:r>
              <w:t>Estudos de casos múltiplos.</w:t>
            </w:r>
          </w:p>
          <w:p w14:paraId="08FA06DF" w14:textId="77777777" w:rsidR="00C33A41" w:rsidRDefault="00C33A41">
            <w:pPr>
              <w:rPr>
                <w:b/>
              </w:rPr>
            </w:pPr>
          </w:p>
        </w:tc>
        <w:tc>
          <w:tcPr>
            <w:tcW w:w="4247" w:type="dxa"/>
          </w:tcPr>
          <w:p w14:paraId="7AE63BD0" w14:textId="77777777" w:rsidR="00C33A41" w:rsidRDefault="007B3952">
            <w:pPr>
              <w:jc w:val="center"/>
              <w:rPr>
                <w:b/>
              </w:rPr>
            </w:pPr>
            <w:r>
              <w:t xml:space="preserve">Luísa Fernanda </w:t>
            </w:r>
            <w:proofErr w:type="spellStart"/>
            <w:r>
              <w:t>Habigzang</w:t>
            </w:r>
            <w:proofErr w:type="spellEnd"/>
            <w:r>
              <w:t xml:space="preserve"> (PUC-RS)</w:t>
            </w:r>
          </w:p>
        </w:tc>
      </w:tr>
      <w:tr w:rsidR="00C33A41" w14:paraId="71A33417" w14:textId="77777777">
        <w:tc>
          <w:tcPr>
            <w:tcW w:w="4247" w:type="dxa"/>
          </w:tcPr>
          <w:p w14:paraId="052EDB63" w14:textId="77777777" w:rsidR="00C33A41" w:rsidRDefault="007B3952">
            <w:pPr>
              <w:ind w:firstLine="0"/>
            </w:pPr>
            <w:r>
              <w:t>Abordagem qualitativa, inserção ecológica e recomendações técnicas na condução de entrevistas com adolescentes.</w:t>
            </w:r>
          </w:p>
          <w:p w14:paraId="71A31CEF" w14:textId="77777777" w:rsidR="00C33A41" w:rsidRDefault="00C33A41">
            <w:pPr>
              <w:rPr>
                <w:b/>
              </w:rPr>
            </w:pPr>
          </w:p>
        </w:tc>
        <w:tc>
          <w:tcPr>
            <w:tcW w:w="4247" w:type="dxa"/>
          </w:tcPr>
          <w:p w14:paraId="1999F0F7" w14:textId="77777777" w:rsidR="00C33A41" w:rsidRDefault="00C33A41">
            <w:pPr>
              <w:jc w:val="center"/>
            </w:pPr>
          </w:p>
          <w:p w14:paraId="41BDFC09" w14:textId="77777777" w:rsidR="00C33A41" w:rsidRDefault="007B3952">
            <w:pPr>
              <w:jc w:val="center"/>
            </w:pPr>
            <w:r>
              <w:t>Normanda Moraes Araújo (UNIFOR)</w:t>
            </w:r>
          </w:p>
          <w:p w14:paraId="307AC9F9" w14:textId="77777777" w:rsidR="00C33A41" w:rsidRDefault="007B3952">
            <w:pPr>
              <w:jc w:val="center"/>
              <w:rPr>
                <w:b/>
              </w:rPr>
            </w:pPr>
            <w:r>
              <w:t xml:space="preserve">Simone </w:t>
            </w:r>
            <w:proofErr w:type="spellStart"/>
            <w:r>
              <w:t>Paludo</w:t>
            </w:r>
            <w:proofErr w:type="spellEnd"/>
            <w:r>
              <w:t xml:space="preserve"> (FURG)</w:t>
            </w:r>
          </w:p>
        </w:tc>
      </w:tr>
      <w:tr w:rsidR="00C33A41" w14:paraId="73634860" w14:textId="77777777">
        <w:tc>
          <w:tcPr>
            <w:tcW w:w="4247" w:type="dxa"/>
          </w:tcPr>
          <w:p w14:paraId="1D124002" w14:textId="77777777" w:rsidR="00C33A41" w:rsidRDefault="007B3952">
            <w:pPr>
              <w:ind w:firstLine="0"/>
            </w:pPr>
            <w:r>
              <w:t>Manejo de temas delicados e que podem evocar conteúdos fortes emocionais (luto e perda no período pandêmico).</w:t>
            </w:r>
          </w:p>
          <w:p w14:paraId="602E448C" w14:textId="77777777" w:rsidR="00C33A41" w:rsidRDefault="00C33A41">
            <w:pPr>
              <w:rPr>
                <w:b/>
              </w:rPr>
            </w:pPr>
          </w:p>
        </w:tc>
        <w:tc>
          <w:tcPr>
            <w:tcW w:w="4247" w:type="dxa"/>
          </w:tcPr>
          <w:p w14:paraId="6A08950F" w14:textId="77777777" w:rsidR="00C33A41" w:rsidRDefault="00C33A41">
            <w:pPr>
              <w:jc w:val="center"/>
            </w:pPr>
          </w:p>
          <w:p w14:paraId="664B575C" w14:textId="77777777" w:rsidR="00C33A41" w:rsidRDefault="007B3952">
            <w:pPr>
              <w:jc w:val="center"/>
              <w:rPr>
                <w:b/>
              </w:rPr>
            </w:pPr>
            <w:r>
              <w:t>Silvia Lordello (UnB)</w:t>
            </w:r>
          </w:p>
        </w:tc>
      </w:tr>
      <w:tr w:rsidR="00C33A41" w14:paraId="17B9659B" w14:textId="77777777">
        <w:tc>
          <w:tcPr>
            <w:tcW w:w="4247" w:type="dxa"/>
          </w:tcPr>
          <w:p w14:paraId="42DC708E" w14:textId="77777777" w:rsidR="00C33A41" w:rsidRDefault="007B3952">
            <w:pPr>
              <w:ind w:firstLine="0"/>
            </w:pPr>
            <w:r>
              <w:t>Análise temática e uso de softwares para a realização de análise de dados qualitativos.</w:t>
            </w:r>
          </w:p>
          <w:p w14:paraId="1DD6BDCC" w14:textId="77777777" w:rsidR="00C33A41" w:rsidRDefault="00C33A41">
            <w:pPr>
              <w:rPr>
                <w:b/>
              </w:rPr>
            </w:pPr>
          </w:p>
        </w:tc>
        <w:tc>
          <w:tcPr>
            <w:tcW w:w="4247" w:type="dxa"/>
          </w:tcPr>
          <w:p w14:paraId="523BF627" w14:textId="77777777" w:rsidR="00C33A41" w:rsidRDefault="00C33A41">
            <w:pPr>
              <w:jc w:val="center"/>
            </w:pPr>
          </w:p>
          <w:p w14:paraId="615F151A" w14:textId="77777777" w:rsidR="00C33A41" w:rsidRDefault="007B3952">
            <w:pPr>
              <w:jc w:val="center"/>
              <w:rPr>
                <w:b/>
              </w:rPr>
            </w:pPr>
            <w:r>
              <w:t xml:space="preserve">Linda </w:t>
            </w:r>
            <w:proofErr w:type="spellStart"/>
            <w:r>
              <w:t>Liebenberg</w:t>
            </w:r>
            <w:proofErr w:type="spellEnd"/>
            <w:r>
              <w:t xml:space="preserve"> (</w:t>
            </w:r>
            <w:proofErr w:type="spellStart"/>
            <w:r>
              <w:t>Dalhousie</w:t>
            </w:r>
            <w:proofErr w:type="spellEnd"/>
            <w:r>
              <w:t xml:space="preserve"> </w:t>
            </w:r>
            <w:proofErr w:type="spellStart"/>
            <w:r>
              <w:t>University</w:t>
            </w:r>
            <w:proofErr w:type="spellEnd"/>
            <w:r>
              <w:t>, Canada)</w:t>
            </w:r>
          </w:p>
        </w:tc>
      </w:tr>
      <w:tr w:rsidR="00C33A41" w14:paraId="27B76FCF" w14:textId="77777777">
        <w:tc>
          <w:tcPr>
            <w:tcW w:w="4247" w:type="dxa"/>
          </w:tcPr>
          <w:p w14:paraId="3E7BB902" w14:textId="77777777" w:rsidR="00C33A41" w:rsidRDefault="007B3952">
            <w:pPr>
              <w:ind w:firstLine="0"/>
            </w:pPr>
            <w:r>
              <w:t>Discussão sobre o procedimento de implantação da pesquisa nacional, procedimentos para coleta de dados e esclarecimento de dúvidas da equipe nacional.</w:t>
            </w:r>
          </w:p>
          <w:p w14:paraId="2B75696E" w14:textId="77777777" w:rsidR="00C33A41" w:rsidRDefault="00C33A41">
            <w:pPr>
              <w:rPr>
                <w:b/>
              </w:rPr>
            </w:pPr>
          </w:p>
        </w:tc>
        <w:tc>
          <w:tcPr>
            <w:tcW w:w="4247" w:type="dxa"/>
          </w:tcPr>
          <w:p w14:paraId="525A636C" w14:textId="77777777" w:rsidR="00C33A41" w:rsidRDefault="00C33A41">
            <w:pPr>
              <w:jc w:val="center"/>
            </w:pPr>
          </w:p>
          <w:p w14:paraId="70A5047E" w14:textId="77777777" w:rsidR="00C33A41" w:rsidRDefault="00C33A41">
            <w:pPr>
              <w:jc w:val="center"/>
            </w:pPr>
          </w:p>
          <w:p w14:paraId="05AA42F3" w14:textId="77777777" w:rsidR="00C33A41" w:rsidRDefault="007B3952">
            <w:pPr>
              <w:jc w:val="center"/>
            </w:pPr>
            <w:r>
              <w:t>Alex Sandro Gomes Pessoa (UFSCar)</w:t>
            </w:r>
          </w:p>
          <w:p w14:paraId="6FD70A6A" w14:textId="77777777" w:rsidR="00C33A41" w:rsidRDefault="007B3952">
            <w:pPr>
              <w:jc w:val="center"/>
              <w:rPr>
                <w:b/>
              </w:rPr>
            </w:pPr>
            <w:r>
              <w:t>Silvia Lordello (UnB)</w:t>
            </w:r>
          </w:p>
        </w:tc>
      </w:tr>
    </w:tbl>
    <w:p w14:paraId="43490FDF" w14:textId="77777777" w:rsidR="00C33A41" w:rsidRDefault="00C33A41">
      <w:pPr>
        <w:rPr>
          <w:b/>
        </w:rPr>
      </w:pPr>
    </w:p>
    <w:p w14:paraId="64F2B646" w14:textId="77777777" w:rsidR="00C33A41" w:rsidRDefault="00C33A41">
      <w:pPr>
        <w:jc w:val="center"/>
        <w:rPr>
          <w:b/>
        </w:rPr>
      </w:pPr>
    </w:p>
    <w:p w14:paraId="4E479A95" w14:textId="77777777" w:rsidR="00C33A41" w:rsidRDefault="00C33A41"/>
    <w:sectPr w:rsidR="00C33A41">
      <w:pgSz w:w="11906" w:h="16838"/>
      <w:pgMar w:top="1417" w:right="1701" w:bottom="1417" w:left="1701" w:header="708" w:footer="708" w:gutter="0"/>
      <w:pgNumType w:start="86"/>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8F34A7" w14:textId="77777777" w:rsidR="00E618E3" w:rsidRDefault="00E618E3">
      <w:pPr>
        <w:spacing w:line="240" w:lineRule="auto"/>
      </w:pPr>
      <w:r>
        <w:separator/>
      </w:r>
    </w:p>
  </w:endnote>
  <w:endnote w:type="continuationSeparator" w:id="0">
    <w:p w14:paraId="2A541835" w14:textId="77777777" w:rsidR="00E618E3" w:rsidRDefault="00E618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NewRomanPS-BoldMT">
    <w:charset w:val="00"/>
    <w:family w:val="roman"/>
    <w:pitch w:val="default"/>
  </w:font>
  <w:font w:name="LiberationSerif-Italic">
    <w:charset w:val="00"/>
    <w:family w:val="roman"/>
    <w:pitch w:val="default"/>
  </w:font>
  <w:font w:name="Segoe UI">
    <w:panose1 w:val="020B0502040204020203"/>
    <w:charset w:val="00"/>
    <w:family w:val="swiss"/>
    <w:pitch w:val="variable"/>
    <w:sig w:usb0="E4002EFF" w:usb1="C000E47F" w:usb2="00000009" w:usb3="00000000" w:csb0="000001FF" w:csb1="00000000"/>
  </w:font>
  <w:font w:name="Times">
    <w:altName w:val="Times New Roman"/>
    <w:panose1 w:val="02020603050405020304"/>
    <w:charset w:val="00"/>
    <w:family w:val="auto"/>
    <w:pitch w:val="default"/>
  </w:font>
  <w:font w:name="ArialMT">
    <w:altName w:val="Arial"/>
    <w:charset w:val="00"/>
    <w:family w:val="auto"/>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166575" w14:textId="77777777" w:rsidR="00C33A41" w:rsidRDefault="00C33A41">
    <w:pPr>
      <w:pBdr>
        <w:top w:val="nil"/>
        <w:left w:val="nil"/>
        <w:bottom w:val="nil"/>
        <w:right w:val="nil"/>
        <w:between w:val="nil"/>
      </w:pBdr>
      <w:tabs>
        <w:tab w:val="center" w:pos="4252"/>
        <w:tab w:val="right" w:pos="8504"/>
        <w:tab w:val="left" w:pos="1320"/>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CFA608" w14:textId="77777777" w:rsidR="00C33A41" w:rsidRDefault="007B3952">
    <w:pPr>
      <w:pBdr>
        <w:top w:val="nil"/>
        <w:left w:val="nil"/>
        <w:bottom w:val="nil"/>
        <w:right w:val="nil"/>
        <w:between w:val="nil"/>
      </w:pBdr>
      <w:tabs>
        <w:tab w:val="center" w:pos="4252"/>
        <w:tab w:val="right" w:pos="8504"/>
      </w:tabs>
      <w:spacing w:line="240" w:lineRule="auto"/>
      <w:jc w:val="right"/>
      <w:rPr>
        <w:rFonts w:eastAsia="Times New Roman" w:cs="Times New Roman"/>
        <w:color w:val="000000"/>
      </w:rPr>
    </w:pPr>
    <w:r>
      <w:rPr>
        <w:rFonts w:eastAsia="Times New Roman" w:cs="Times New Roman"/>
        <w:color w:val="000000"/>
      </w:rPr>
      <w:fldChar w:fldCharType="begin"/>
    </w:r>
    <w:r>
      <w:rPr>
        <w:rFonts w:eastAsia="Times New Roman" w:cs="Times New Roman"/>
        <w:color w:val="000000"/>
      </w:rPr>
      <w:instrText>PAGE</w:instrText>
    </w:r>
    <w:r>
      <w:rPr>
        <w:rFonts w:eastAsia="Times New Roman" w:cs="Times New Roman"/>
        <w:color w:val="000000"/>
      </w:rPr>
      <w:fldChar w:fldCharType="separate"/>
    </w:r>
    <w:r w:rsidR="00AB3DE0">
      <w:rPr>
        <w:rFonts w:eastAsia="Times New Roman" w:cs="Times New Roman"/>
        <w:noProof/>
        <w:color w:val="000000"/>
      </w:rPr>
      <w:t>13</w:t>
    </w:r>
    <w:r>
      <w:rPr>
        <w:rFonts w:eastAsia="Times New Roman" w:cs="Times New Roman"/>
        <w:color w:val="000000"/>
      </w:rPr>
      <w:fldChar w:fldCharType="end"/>
    </w:r>
  </w:p>
  <w:p w14:paraId="03216D1C" w14:textId="77777777" w:rsidR="00C33A41" w:rsidRDefault="00C33A41">
    <w:pPr>
      <w:pBdr>
        <w:top w:val="nil"/>
        <w:left w:val="nil"/>
        <w:bottom w:val="nil"/>
        <w:right w:val="nil"/>
        <w:between w:val="nil"/>
      </w:pBdr>
      <w:tabs>
        <w:tab w:val="center" w:pos="4252"/>
        <w:tab w:val="right" w:pos="8504"/>
        <w:tab w:val="left" w:pos="1320"/>
      </w:tabs>
      <w:spacing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5A9F59" w14:textId="77777777" w:rsidR="00C33A41" w:rsidRDefault="007B3952">
    <w:pPr>
      <w:pBdr>
        <w:top w:val="nil"/>
        <w:left w:val="nil"/>
        <w:bottom w:val="nil"/>
        <w:right w:val="nil"/>
        <w:between w:val="nil"/>
      </w:pBdr>
      <w:tabs>
        <w:tab w:val="center" w:pos="4252"/>
        <w:tab w:val="right" w:pos="8504"/>
      </w:tabs>
      <w:spacing w:line="240" w:lineRule="auto"/>
      <w:jc w:val="right"/>
      <w:rPr>
        <w:rFonts w:eastAsia="Times New Roman" w:cs="Times New Roman"/>
        <w:color w:val="000000"/>
      </w:rPr>
    </w:pPr>
    <w:r>
      <w:rPr>
        <w:rFonts w:eastAsia="Times New Roman" w:cs="Times New Roman"/>
        <w:color w:val="000000"/>
      </w:rPr>
      <w:fldChar w:fldCharType="begin"/>
    </w:r>
    <w:r>
      <w:rPr>
        <w:rFonts w:eastAsia="Times New Roman" w:cs="Times New Roman"/>
        <w:color w:val="000000"/>
      </w:rPr>
      <w:instrText>PAGE</w:instrText>
    </w:r>
    <w:r>
      <w:rPr>
        <w:rFonts w:eastAsia="Times New Roman" w:cs="Times New Roman"/>
        <w:color w:val="000000"/>
      </w:rPr>
      <w:fldChar w:fldCharType="separate"/>
    </w:r>
    <w:r w:rsidR="00AB3DE0">
      <w:rPr>
        <w:rFonts w:eastAsia="Times New Roman" w:cs="Times New Roman"/>
        <w:noProof/>
        <w:color w:val="000000"/>
      </w:rPr>
      <w:t>14</w:t>
    </w:r>
    <w:r>
      <w:rPr>
        <w:rFonts w:eastAsia="Times New Roman" w:cs="Times New Roman"/>
        <w:color w:val="000000"/>
      </w:rPr>
      <w:fldChar w:fldCharType="end"/>
    </w:r>
  </w:p>
  <w:p w14:paraId="1AA00E73" w14:textId="77777777" w:rsidR="00C33A41" w:rsidRDefault="00C33A41">
    <w:pPr>
      <w:pBdr>
        <w:top w:val="nil"/>
        <w:left w:val="nil"/>
        <w:bottom w:val="nil"/>
        <w:right w:val="nil"/>
        <w:between w:val="nil"/>
      </w:pBdr>
      <w:tabs>
        <w:tab w:val="center" w:pos="4252"/>
        <w:tab w:val="right" w:pos="8504"/>
        <w:tab w:val="left" w:pos="1320"/>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9578E3C" w14:textId="77777777" w:rsidR="00E618E3" w:rsidRDefault="00E618E3">
      <w:pPr>
        <w:spacing w:line="240" w:lineRule="auto"/>
      </w:pPr>
      <w:r>
        <w:separator/>
      </w:r>
    </w:p>
  </w:footnote>
  <w:footnote w:type="continuationSeparator" w:id="0">
    <w:p w14:paraId="00B75CA9" w14:textId="77777777" w:rsidR="00E618E3" w:rsidRDefault="00E618E3">
      <w:pPr>
        <w:spacing w:line="240" w:lineRule="auto"/>
      </w:pPr>
      <w:r>
        <w:continuationSeparator/>
      </w:r>
    </w:p>
  </w:footnote>
  <w:footnote w:id="1">
    <w:p w14:paraId="7F0D6543" w14:textId="77777777" w:rsidR="00C33A41" w:rsidRDefault="007B3952">
      <w:pPr>
        <w:pBdr>
          <w:top w:val="nil"/>
          <w:left w:val="nil"/>
          <w:bottom w:val="nil"/>
          <w:right w:val="nil"/>
          <w:between w:val="nil"/>
        </w:pBdr>
        <w:tabs>
          <w:tab w:val="center" w:pos="4252"/>
          <w:tab w:val="right" w:pos="8504"/>
        </w:tabs>
        <w:spacing w:line="240" w:lineRule="auto"/>
        <w:rPr>
          <w:color w:val="000000"/>
        </w:rPr>
      </w:pPr>
      <w:r>
        <w:rPr>
          <w:vertAlign w:val="superscript"/>
        </w:rPr>
        <w:footnoteRef/>
      </w:r>
      <w:r>
        <w:t xml:space="preserve"> </w:t>
      </w:r>
      <w:r>
        <w:rPr>
          <w:color w:val="000000"/>
        </w:rPr>
        <w:t xml:space="preserve">Por se tratar de um texto de apresentação, esse trecho da Tese foi </w:t>
      </w:r>
      <w:r>
        <w:t>escrito</w:t>
      </w:r>
      <w:r>
        <w:rPr>
          <w:color w:val="000000"/>
        </w:rPr>
        <w:t xml:space="preserve"> em 1ª pessoa.</w:t>
      </w:r>
    </w:p>
    <w:p w14:paraId="3FF2C3EF" w14:textId="77777777" w:rsidR="00C33A41" w:rsidRDefault="00C33A41">
      <w:pPr>
        <w:pBdr>
          <w:top w:val="nil"/>
          <w:left w:val="nil"/>
          <w:bottom w:val="nil"/>
          <w:right w:val="nil"/>
          <w:between w:val="nil"/>
        </w:pBdr>
        <w:spacing w:line="240" w:lineRule="auto"/>
        <w:rPr>
          <w:rFonts w:eastAsia="Times New Roman" w:cs="Times New Roman"/>
          <w:color w:val="00000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7CCCA6" w14:textId="77777777" w:rsidR="00C33A41" w:rsidRDefault="00C33A41">
    <w:pPr>
      <w:pBdr>
        <w:top w:val="nil"/>
        <w:left w:val="nil"/>
        <w:bottom w:val="nil"/>
        <w:right w:val="nil"/>
        <w:between w:val="nil"/>
      </w:pBdr>
      <w:tabs>
        <w:tab w:val="center" w:pos="4252"/>
        <w:tab w:val="right" w:pos="8504"/>
      </w:tabs>
      <w:spacing w:line="240" w:lineRule="auto"/>
      <w:rPr>
        <w:rFonts w:eastAsia="Times New Roman" w:cs="Times New Roman"/>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75E95"/>
    <w:multiLevelType w:val="multilevel"/>
    <w:tmpl w:val="FFFFFFFF"/>
    <w:lvl w:ilvl="0">
      <w:start w:val="2"/>
      <w:numFmt w:val="decimal"/>
      <w:lvlText w:val="%1"/>
      <w:lvlJc w:val="left"/>
      <w:pPr>
        <w:ind w:left="480" w:hanging="480"/>
      </w:pPr>
    </w:lvl>
    <w:lvl w:ilvl="1">
      <w:start w:val="1"/>
      <w:numFmt w:val="decimal"/>
      <w:lvlText w:val="%1.%2"/>
      <w:lvlJc w:val="left"/>
      <w:pPr>
        <w:ind w:left="480" w:hanging="48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 w15:restartNumberingAfterBreak="0">
    <w:nsid w:val="012F08F1"/>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D4B3676"/>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CE1188F"/>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32867C47"/>
    <w:multiLevelType w:val="multilevel"/>
    <w:tmpl w:val="FFFFFFFF"/>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404254D1"/>
    <w:multiLevelType w:val="multilevel"/>
    <w:tmpl w:val="FFFFFFFF"/>
    <w:lvl w:ilvl="0">
      <w:start w:val="1"/>
      <w:numFmt w:val="low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40E43A26"/>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42F60CED"/>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15:restartNumberingAfterBreak="0">
    <w:nsid w:val="61C46FE7"/>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2622691"/>
    <w:multiLevelType w:val="multilevel"/>
    <w:tmpl w:val="FFFFFFFF"/>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6AED648E"/>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306707C"/>
    <w:multiLevelType w:val="multilevel"/>
    <w:tmpl w:val="FFFFFFFF"/>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7DCC4778"/>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7F1F15F5"/>
    <w:multiLevelType w:val="multilevel"/>
    <w:tmpl w:val="FFFFFFFF"/>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16cid:durableId="69163279">
    <w:abstractNumId w:val="7"/>
  </w:num>
  <w:num w:numId="2" w16cid:durableId="571625542">
    <w:abstractNumId w:val="13"/>
  </w:num>
  <w:num w:numId="3" w16cid:durableId="2105224254">
    <w:abstractNumId w:val="8"/>
  </w:num>
  <w:num w:numId="4" w16cid:durableId="1642152898">
    <w:abstractNumId w:val="10"/>
  </w:num>
  <w:num w:numId="5" w16cid:durableId="1166479349">
    <w:abstractNumId w:val="12"/>
  </w:num>
  <w:num w:numId="6" w16cid:durableId="1117674470">
    <w:abstractNumId w:val="6"/>
  </w:num>
  <w:num w:numId="7" w16cid:durableId="2090958160">
    <w:abstractNumId w:val="0"/>
  </w:num>
  <w:num w:numId="8" w16cid:durableId="977567390">
    <w:abstractNumId w:val="2"/>
  </w:num>
  <w:num w:numId="9" w16cid:durableId="118763063">
    <w:abstractNumId w:val="3"/>
  </w:num>
  <w:num w:numId="10" w16cid:durableId="183515492">
    <w:abstractNumId w:val="5"/>
  </w:num>
  <w:num w:numId="11" w16cid:durableId="821387728">
    <w:abstractNumId w:val="11"/>
  </w:num>
  <w:num w:numId="12" w16cid:durableId="437484512">
    <w:abstractNumId w:val="1"/>
  </w:num>
  <w:num w:numId="13" w16cid:durableId="257255424">
    <w:abstractNumId w:val="9"/>
  </w:num>
  <w:num w:numId="14" w16cid:durableId="211151088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3A41"/>
    <w:rsid w:val="00000A83"/>
    <w:rsid w:val="00012118"/>
    <w:rsid w:val="000D0C63"/>
    <w:rsid w:val="00171685"/>
    <w:rsid w:val="00182116"/>
    <w:rsid w:val="001C41F4"/>
    <w:rsid w:val="001F6389"/>
    <w:rsid w:val="00233A16"/>
    <w:rsid w:val="00295DFE"/>
    <w:rsid w:val="002B4ACE"/>
    <w:rsid w:val="002C51BE"/>
    <w:rsid w:val="003350C3"/>
    <w:rsid w:val="00470FBF"/>
    <w:rsid w:val="0050311B"/>
    <w:rsid w:val="00522D37"/>
    <w:rsid w:val="006022B7"/>
    <w:rsid w:val="0061428A"/>
    <w:rsid w:val="00681356"/>
    <w:rsid w:val="007B3952"/>
    <w:rsid w:val="007E195E"/>
    <w:rsid w:val="008048A4"/>
    <w:rsid w:val="00832A52"/>
    <w:rsid w:val="008747ED"/>
    <w:rsid w:val="008A1E7D"/>
    <w:rsid w:val="0091702C"/>
    <w:rsid w:val="009518C7"/>
    <w:rsid w:val="0098001C"/>
    <w:rsid w:val="009D61F5"/>
    <w:rsid w:val="009D7503"/>
    <w:rsid w:val="009E65ED"/>
    <w:rsid w:val="00A25731"/>
    <w:rsid w:val="00AB3DE0"/>
    <w:rsid w:val="00B06B60"/>
    <w:rsid w:val="00B54DDD"/>
    <w:rsid w:val="00B75602"/>
    <w:rsid w:val="00BB4AE5"/>
    <w:rsid w:val="00C0091A"/>
    <w:rsid w:val="00C33A41"/>
    <w:rsid w:val="00C866FC"/>
    <w:rsid w:val="00C93661"/>
    <w:rsid w:val="00D145AF"/>
    <w:rsid w:val="00D31DA4"/>
    <w:rsid w:val="00D81E48"/>
    <w:rsid w:val="00E378F0"/>
    <w:rsid w:val="00E618E3"/>
    <w:rsid w:val="00EA6D14"/>
    <w:rsid w:val="00ED3546"/>
    <w:rsid w:val="00F13BCF"/>
    <w:rsid w:val="00F31B7B"/>
    <w:rsid w:val="00F64747"/>
    <w:rsid w:val="00FF6D9F"/>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7CC43"/>
  <w15:docId w15:val="{EEB47587-D9B6-854F-8520-EBEC4A951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pt-BR" w:eastAsia="pt-BR" w:bidi="ar-SA"/>
      </w:rPr>
    </w:rPrDefault>
    <w:pPrDefault>
      <w:pPr>
        <w:spacing w:line="48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F24DA"/>
    <w:pPr>
      <w:contextualSpacing/>
    </w:pPr>
    <w:rPr>
      <w:rFonts w:eastAsia="Calibri" w:cs="Calibri"/>
    </w:rPr>
  </w:style>
  <w:style w:type="paragraph" w:styleId="Ttulo1">
    <w:name w:val="heading 1"/>
    <w:basedOn w:val="Normal"/>
    <w:next w:val="Normal"/>
    <w:link w:val="Ttulo1Char"/>
    <w:uiPriority w:val="9"/>
    <w:qFormat/>
    <w:rsid w:val="00A2671E"/>
    <w:pPr>
      <w:keepNext/>
      <w:keepLines/>
      <w:ind w:firstLine="0"/>
      <w:jc w:val="center"/>
      <w:outlineLvl w:val="0"/>
    </w:pPr>
    <w:rPr>
      <w:rFonts w:eastAsiaTheme="majorEastAsia" w:cstheme="majorBidi"/>
      <w:b/>
      <w:szCs w:val="32"/>
    </w:rPr>
  </w:style>
  <w:style w:type="paragraph" w:styleId="Ttulo2">
    <w:name w:val="heading 2"/>
    <w:basedOn w:val="Normal"/>
    <w:next w:val="Normal"/>
    <w:link w:val="Ttulo2Char"/>
    <w:uiPriority w:val="9"/>
    <w:unhideWhenUsed/>
    <w:qFormat/>
    <w:rsid w:val="006A096B"/>
    <w:pPr>
      <w:keepNext/>
      <w:keepLines/>
      <w:ind w:firstLine="0"/>
      <w:jc w:val="left"/>
      <w:outlineLvl w:val="1"/>
    </w:pPr>
    <w:rPr>
      <w:rFonts w:eastAsiaTheme="majorEastAsia" w:cstheme="majorBidi"/>
      <w:b/>
      <w:szCs w:val="26"/>
    </w:rPr>
  </w:style>
  <w:style w:type="paragraph" w:styleId="Ttulo3">
    <w:name w:val="heading 3"/>
    <w:basedOn w:val="Normal"/>
    <w:next w:val="Normal"/>
    <w:uiPriority w:val="9"/>
    <w:unhideWhenUsed/>
    <w:qFormat/>
    <w:rsid w:val="00A2671E"/>
    <w:pPr>
      <w:keepNext/>
      <w:keepLines/>
      <w:ind w:firstLine="0"/>
      <w:jc w:val="left"/>
      <w:outlineLvl w:val="2"/>
    </w:pPr>
    <w:rPr>
      <w:b/>
      <w:i/>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table" w:customStyle="1" w:styleId="TableNormal2">
    <w:name w:val="Table Normal"/>
    <w:tblPr>
      <w:tblCellMar>
        <w:top w:w="0" w:type="dxa"/>
        <w:left w:w="0" w:type="dxa"/>
        <w:bottom w:w="0" w:type="dxa"/>
        <w:right w:w="0" w:type="dxa"/>
      </w:tblCellMar>
    </w:tblPr>
  </w:style>
  <w:style w:type="paragraph" w:styleId="Textodecomentrio">
    <w:name w:val="annotation text"/>
    <w:basedOn w:val="Normal"/>
    <w:link w:val="TextodecomentrioChar"/>
    <w:uiPriority w:val="99"/>
    <w:unhideWhenUsed/>
    <w:qFormat/>
    <w:rsid w:val="00437C93"/>
    <w:pPr>
      <w:spacing w:line="240" w:lineRule="auto"/>
    </w:pPr>
    <w:rPr>
      <w:rFonts w:ascii="Arial" w:eastAsia="Arial" w:hAnsi="Arial" w:cs="Arial"/>
      <w:sz w:val="20"/>
      <w:szCs w:val="20"/>
    </w:rPr>
  </w:style>
  <w:style w:type="character" w:customStyle="1" w:styleId="TextodecomentrioChar">
    <w:name w:val="Texto de comentário Char"/>
    <w:basedOn w:val="Fontepargpadro"/>
    <w:link w:val="Textodecomentrio"/>
    <w:uiPriority w:val="99"/>
    <w:qFormat/>
    <w:rsid w:val="00437C93"/>
    <w:rPr>
      <w:rFonts w:ascii="Arial" w:eastAsia="Arial" w:hAnsi="Arial" w:cs="Arial"/>
      <w:sz w:val="20"/>
      <w:szCs w:val="20"/>
      <w:lang w:eastAsia="pt-BR"/>
    </w:rPr>
  </w:style>
  <w:style w:type="character" w:styleId="Refdecomentrio">
    <w:name w:val="annotation reference"/>
    <w:basedOn w:val="Fontepargpadro"/>
    <w:uiPriority w:val="99"/>
    <w:semiHidden/>
    <w:unhideWhenUsed/>
    <w:rsid w:val="00437C93"/>
    <w:rPr>
      <w:sz w:val="16"/>
      <w:szCs w:val="16"/>
    </w:rPr>
  </w:style>
  <w:style w:type="paragraph" w:styleId="PargrafodaLista">
    <w:name w:val="List Paragraph"/>
    <w:basedOn w:val="Normal"/>
    <w:uiPriority w:val="34"/>
    <w:qFormat/>
    <w:rsid w:val="00F66C7D"/>
    <w:pPr>
      <w:ind w:left="720"/>
    </w:pPr>
    <w:rPr>
      <w:rFonts w:asciiTheme="minorHAnsi" w:eastAsiaTheme="minorHAnsi" w:hAnsiTheme="minorHAnsi" w:cstheme="minorBidi"/>
      <w:lang w:eastAsia="en-US"/>
    </w:rPr>
  </w:style>
  <w:style w:type="table" w:styleId="Tabelacomgrade">
    <w:name w:val="Table Grid"/>
    <w:basedOn w:val="Tabelanormal"/>
    <w:uiPriority w:val="39"/>
    <w:rsid w:val="00F66C7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Fontepargpadro"/>
    <w:rsid w:val="00F66C7D"/>
    <w:rPr>
      <w:rFonts w:ascii="TimesNewRomanPS-BoldMT" w:hAnsi="TimesNewRomanPS-BoldMT" w:hint="default"/>
      <w:b/>
      <w:bCs/>
      <w:i w:val="0"/>
      <w:iCs w:val="0"/>
      <w:color w:val="000000"/>
      <w:sz w:val="24"/>
      <w:szCs w:val="24"/>
    </w:rPr>
  </w:style>
  <w:style w:type="character" w:customStyle="1" w:styleId="CorpodetextoChar">
    <w:name w:val="Corpo de texto Char"/>
    <w:basedOn w:val="Fontepargpadro"/>
    <w:link w:val="Corpodetexto"/>
    <w:semiHidden/>
    <w:qFormat/>
    <w:rsid w:val="00F66C7D"/>
    <w:rPr>
      <w:rFonts w:ascii="Courier New" w:eastAsia="Times New Roman" w:hAnsi="Courier New" w:cs="Times New Roman"/>
      <w:sz w:val="24"/>
      <w:szCs w:val="20"/>
    </w:rPr>
  </w:style>
  <w:style w:type="character" w:customStyle="1" w:styleId="RecuodecorpodetextoChar">
    <w:name w:val="Recuo de corpo de texto Char"/>
    <w:basedOn w:val="Fontepargpadro"/>
    <w:link w:val="Recuodecorpodetexto"/>
    <w:semiHidden/>
    <w:qFormat/>
    <w:rsid w:val="00F66C7D"/>
    <w:rPr>
      <w:rFonts w:ascii="Times New Roman" w:eastAsia="Times New Roman" w:hAnsi="Times New Roman" w:cs="Times New Roman"/>
      <w:sz w:val="24"/>
      <w:szCs w:val="24"/>
      <w:lang w:val="en-US"/>
    </w:rPr>
  </w:style>
  <w:style w:type="character" w:customStyle="1" w:styleId="LinkdaInternet">
    <w:name w:val="Link da Internet"/>
    <w:basedOn w:val="Fontepargpadro"/>
    <w:uiPriority w:val="99"/>
    <w:unhideWhenUsed/>
    <w:rsid w:val="00F66C7D"/>
    <w:rPr>
      <w:color w:val="0563C1" w:themeColor="hyperlink"/>
      <w:u w:val="single"/>
    </w:rPr>
  </w:style>
  <w:style w:type="paragraph" w:styleId="Corpodetexto">
    <w:name w:val="Body Text"/>
    <w:basedOn w:val="Normal"/>
    <w:link w:val="CorpodetextoChar"/>
    <w:semiHidden/>
    <w:unhideWhenUsed/>
    <w:rsid w:val="00F66C7D"/>
    <w:pPr>
      <w:suppressAutoHyphens/>
      <w:spacing w:line="360" w:lineRule="auto"/>
    </w:pPr>
    <w:rPr>
      <w:rFonts w:ascii="Courier New" w:eastAsia="Times New Roman" w:hAnsi="Courier New" w:cs="Times New Roman"/>
      <w:szCs w:val="20"/>
      <w:lang w:eastAsia="en-US"/>
    </w:rPr>
  </w:style>
  <w:style w:type="character" w:customStyle="1" w:styleId="CorpodetextoChar1">
    <w:name w:val="Corpo de texto Char1"/>
    <w:basedOn w:val="Fontepargpadro"/>
    <w:uiPriority w:val="99"/>
    <w:semiHidden/>
    <w:rsid w:val="00F66C7D"/>
    <w:rPr>
      <w:rFonts w:ascii="Calibri" w:eastAsia="Calibri" w:hAnsi="Calibri" w:cs="Calibri"/>
      <w:lang w:eastAsia="pt-BR"/>
    </w:rPr>
  </w:style>
  <w:style w:type="paragraph" w:styleId="Recuodecorpodetexto">
    <w:name w:val="Body Text Indent"/>
    <w:basedOn w:val="Normal"/>
    <w:link w:val="RecuodecorpodetextoChar"/>
    <w:semiHidden/>
    <w:unhideWhenUsed/>
    <w:rsid w:val="00F66C7D"/>
    <w:pPr>
      <w:suppressAutoHyphens/>
      <w:ind w:firstLine="562"/>
    </w:pPr>
    <w:rPr>
      <w:rFonts w:eastAsia="Times New Roman" w:cs="Times New Roman"/>
      <w:lang w:val="en-US" w:eastAsia="en-US"/>
    </w:rPr>
  </w:style>
  <w:style w:type="character" w:customStyle="1" w:styleId="RecuodecorpodetextoChar1">
    <w:name w:val="Recuo de corpo de texto Char1"/>
    <w:basedOn w:val="Fontepargpadro"/>
    <w:uiPriority w:val="99"/>
    <w:semiHidden/>
    <w:rsid w:val="00F66C7D"/>
    <w:rPr>
      <w:rFonts w:ascii="Calibri" w:eastAsia="Calibri" w:hAnsi="Calibri" w:cs="Calibri"/>
      <w:lang w:eastAsia="pt-BR"/>
    </w:rPr>
  </w:style>
  <w:style w:type="character" w:styleId="Hyperlink">
    <w:name w:val="Hyperlink"/>
    <w:basedOn w:val="Fontepargpadro"/>
    <w:uiPriority w:val="99"/>
    <w:unhideWhenUsed/>
    <w:rsid w:val="00F66C7D"/>
    <w:rPr>
      <w:color w:val="0563C1" w:themeColor="hyperlink"/>
      <w:u w:val="single"/>
    </w:rPr>
  </w:style>
  <w:style w:type="character" w:customStyle="1" w:styleId="fontstyle21">
    <w:name w:val="fontstyle21"/>
    <w:basedOn w:val="Fontepargpadro"/>
    <w:rsid w:val="0042745D"/>
    <w:rPr>
      <w:rFonts w:ascii="LiberationSerif-Italic" w:hAnsi="LiberationSerif-Italic" w:hint="default"/>
      <w:b w:val="0"/>
      <w:bCs w:val="0"/>
      <w:i/>
      <w:iCs/>
      <w:color w:val="242021"/>
      <w:sz w:val="22"/>
      <w:szCs w:val="22"/>
    </w:rPr>
  </w:style>
  <w:style w:type="paragraph" w:styleId="Assuntodocomentrio">
    <w:name w:val="annotation subject"/>
    <w:basedOn w:val="Textodecomentrio"/>
    <w:next w:val="Textodecomentrio"/>
    <w:link w:val="AssuntodocomentrioChar"/>
    <w:uiPriority w:val="99"/>
    <w:semiHidden/>
    <w:unhideWhenUsed/>
    <w:rsid w:val="00F25FC5"/>
    <w:pPr>
      <w:spacing w:after="160"/>
    </w:pPr>
    <w:rPr>
      <w:rFonts w:ascii="Calibri" w:eastAsia="Calibri" w:hAnsi="Calibri" w:cs="Calibri"/>
      <w:b/>
      <w:bCs/>
    </w:rPr>
  </w:style>
  <w:style w:type="character" w:customStyle="1" w:styleId="AssuntodocomentrioChar">
    <w:name w:val="Assunto do comentário Char"/>
    <w:basedOn w:val="TextodecomentrioChar"/>
    <w:link w:val="Assuntodocomentrio"/>
    <w:uiPriority w:val="99"/>
    <w:semiHidden/>
    <w:rsid w:val="00F25FC5"/>
    <w:rPr>
      <w:rFonts w:ascii="Calibri" w:eastAsia="Calibri" w:hAnsi="Calibri" w:cs="Calibri"/>
      <w:b/>
      <w:bCs/>
      <w:sz w:val="20"/>
      <w:szCs w:val="20"/>
      <w:lang w:eastAsia="pt-BR"/>
    </w:rPr>
  </w:style>
  <w:style w:type="character" w:styleId="MenoPendente">
    <w:name w:val="Unresolved Mention"/>
    <w:basedOn w:val="Fontepargpadro"/>
    <w:uiPriority w:val="99"/>
    <w:semiHidden/>
    <w:unhideWhenUsed/>
    <w:rsid w:val="00766AD7"/>
    <w:rPr>
      <w:color w:val="605E5C"/>
      <w:shd w:val="clear" w:color="auto" w:fill="E1DFDD"/>
    </w:rPr>
  </w:style>
  <w:style w:type="paragraph" w:styleId="NormalWeb">
    <w:name w:val="Normal (Web)"/>
    <w:basedOn w:val="Normal"/>
    <w:uiPriority w:val="99"/>
    <w:unhideWhenUsed/>
    <w:qFormat/>
    <w:rsid w:val="00013EC2"/>
    <w:pPr>
      <w:spacing w:before="100" w:beforeAutospacing="1" w:after="100" w:afterAutospacing="1" w:line="240" w:lineRule="auto"/>
    </w:pPr>
    <w:rPr>
      <w:rFonts w:eastAsia="Times New Roman" w:cs="Times New Roman"/>
    </w:rPr>
  </w:style>
  <w:style w:type="paragraph" w:styleId="Cabealho">
    <w:name w:val="header"/>
    <w:basedOn w:val="Normal"/>
    <w:link w:val="CabealhoChar"/>
    <w:uiPriority w:val="99"/>
    <w:unhideWhenUsed/>
    <w:rsid w:val="00ED1309"/>
    <w:pPr>
      <w:tabs>
        <w:tab w:val="center" w:pos="4252"/>
        <w:tab w:val="right" w:pos="8504"/>
      </w:tabs>
      <w:spacing w:line="240" w:lineRule="auto"/>
    </w:pPr>
  </w:style>
  <w:style w:type="character" w:customStyle="1" w:styleId="CabealhoChar">
    <w:name w:val="Cabeçalho Char"/>
    <w:basedOn w:val="Fontepargpadro"/>
    <w:link w:val="Cabealho"/>
    <w:uiPriority w:val="99"/>
    <w:rsid w:val="00ED1309"/>
    <w:rPr>
      <w:rFonts w:ascii="Calibri" w:eastAsia="Calibri" w:hAnsi="Calibri" w:cs="Calibri"/>
      <w:lang w:eastAsia="pt-BR"/>
    </w:rPr>
  </w:style>
  <w:style w:type="paragraph" w:styleId="Rodap">
    <w:name w:val="footer"/>
    <w:basedOn w:val="Normal"/>
    <w:link w:val="RodapChar"/>
    <w:uiPriority w:val="99"/>
    <w:unhideWhenUsed/>
    <w:rsid w:val="00ED1309"/>
    <w:pPr>
      <w:tabs>
        <w:tab w:val="center" w:pos="4252"/>
        <w:tab w:val="right" w:pos="8504"/>
      </w:tabs>
      <w:spacing w:line="240" w:lineRule="auto"/>
    </w:pPr>
  </w:style>
  <w:style w:type="character" w:customStyle="1" w:styleId="RodapChar">
    <w:name w:val="Rodapé Char"/>
    <w:basedOn w:val="Fontepargpadro"/>
    <w:link w:val="Rodap"/>
    <w:uiPriority w:val="99"/>
    <w:rsid w:val="00ED1309"/>
    <w:rPr>
      <w:rFonts w:ascii="Calibri" w:eastAsia="Calibri" w:hAnsi="Calibri" w:cs="Calibri"/>
      <w:lang w:eastAsia="pt-BR"/>
    </w:rPr>
  </w:style>
  <w:style w:type="character" w:customStyle="1" w:styleId="Ttulo1Char">
    <w:name w:val="Título 1 Char"/>
    <w:basedOn w:val="Fontepargpadro"/>
    <w:link w:val="Ttulo1"/>
    <w:uiPriority w:val="9"/>
    <w:rsid w:val="00A2671E"/>
    <w:rPr>
      <w:rFonts w:eastAsiaTheme="majorEastAsia" w:cstheme="majorBidi"/>
      <w:b/>
      <w:szCs w:val="32"/>
    </w:rPr>
  </w:style>
  <w:style w:type="paragraph" w:styleId="CabealhodoSumrio">
    <w:name w:val="TOC Heading"/>
    <w:basedOn w:val="Ttulo1"/>
    <w:next w:val="Normal"/>
    <w:uiPriority w:val="39"/>
    <w:unhideWhenUsed/>
    <w:qFormat/>
    <w:rsid w:val="00C45B2B"/>
    <w:pPr>
      <w:outlineLvl w:val="9"/>
    </w:pPr>
  </w:style>
  <w:style w:type="paragraph" w:styleId="Sumrio2">
    <w:name w:val="toc 2"/>
    <w:basedOn w:val="Normal"/>
    <w:next w:val="Normal"/>
    <w:autoRedefine/>
    <w:uiPriority w:val="39"/>
    <w:unhideWhenUsed/>
    <w:rsid w:val="00C45B2B"/>
    <w:pPr>
      <w:spacing w:after="100"/>
      <w:ind w:left="220"/>
    </w:pPr>
    <w:rPr>
      <w:rFonts w:asciiTheme="minorHAnsi" w:eastAsiaTheme="minorEastAsia" w:hAnsiTheme="minorHAnsi" w:cs="Times New Roman"/>
    </w:rPr>
  </w:style>
  <w:style w:type="paragraph" w:styleId="Sumrio1">
    <w:name w:val="toc 1"/>
    <w:basedOn w:val="Normal"/>
    <w:next w:val="Normal"/>
    <w:autoRedefine/>
    <w:uiPriority w:val="39"/>
    <w:unhideWhenUsed/>
    <w:rsid w:val="00C75119"/>
    <w:pPr>
      <w:tabs>
        <w:tab w:val="right" w:leader="dot" w:pos="8494"/>
      </w:tabs>
      <w:spacing w:after="100"/>
    </w:pPr>
    <w:rPr>
      <w:rFonts w:eastAsia="Times New Roman" w:cs="Times New Roman"/>
      <w:b/>
      <w:bCs/>
      <w:noProof/>
    </w:rPr>
  </w:style>
  <w:style w:type="paragraph" w:styleId="Sumrio3">
    <w:name w:val="toc 3"/>
    <w:basedOn w:val="Normal"/>
    <w:next w:val="Normal"/>
    <w:autoRedefine/>
    <w:uiPriority w:val="39"/>
    <w:unhideWhenUsed/>
    <w:rsid w:val="00C45B2B"/>
    <w:pPr>
      <w:spacing w:after="100"/>
      <w:ind w:left="440"/>
    </w:pPr>
    <w:rPr>
      <w:rFonts w:asciiTheme="minorHAnsi" w:eastAsiaTheme="minorEastAsia" w:hAnsiTheme="minorHAnsi" w:cs="Times New Roman"/>
    </w:rPr>
  </w:style>
  <w:style w:type="paragraph" w:styleId="Subttulo">
    <w:name w:val="Subtitle"/>
    <w:basedOn w:val="Normal"/>
    <w:next w:val="Normal"/>
    <w:link w:val="SubttuloChar"/>
    <w:uiPriority w:val="11"/>
    <w:qFormat/>
    <w:rPr>
      <w:b/>
    </w:rPr>
  </w:style>
  <w:style w:type="character" w:customStyle="1" w:styleId="SubttuloChar">
    <w:name w:val="Subtítulo Char"/>
    <w:basedOn w:val="Fontepargpadro"/>
    <w:link w:val="Subttulo"/>
    <w:uiPriority w:val="11"/>
    <w:rsid w:val="00D406E4"/>
    <w:rPr>
      <w:rFonts w:ascii="Times New Roman" w:eastAsiaTheme="minorEastAsia" w:hAnsi="Times New Roman"/>
      <w:b/>
      <w:spacing w:val="15"/>
      <w:sz w:val="24"/>
      <w:lang w:eastAsia="pt-BR"/>
    </w:rPr>
  </w:style>
  <w:style w:type="character" w:customStyle="1" w:styleId="Ttulo2Char">
    <w:name w:val="Título 2 Char"/>
    <w:basedOn w:val="Fontepargpadro"/>
    <w:link w:val="Ttulo2"/>
    <w:uiPriority w:val="9"/>
    <w:rsid w:val="006A096B"/>
    <w:rPr>
      <w:rFonts w:eastAsiaTheme="majorEastAsia" w:cstheme="majorBidi"/>
      <w:b/>
      <w:szCs w:val="26"/>
    </w:rPr>
  </w:style>
  <w:style w:type="character" w:styleId="nfase">
    <w:name w:val="Emphasis"/>
    <w:basedOn w:val="Fontepargpadro"/>
    <w:uiPriority w:val="20"/>
    <w:qFormat/>
    <w:rsid w:val="001A1CAF"/>
    <w:rPr>
      <w:i/>
      <w:iCs/>
    </w:rPr>
  </w:style>
  <w:style w:type="table" w:customStyle="1" w:styleId="a">
    <w:basedOn w:val="TableNormal2"/>
    <w:tblPr>
      <w:tblStyleRowBandSize w:val="1"/>
      <w:tblStyleColBandSize w:val="1"/>
      <w:tblCellMar>
        <w:left w:w="115" w:type="dxa"/>
        <w:right w:w="115" w:type="dxa"/>
      </w:tblCellMar>
    </w:tblPr>
  </w:style>
  <w:style w:type="table" w:customStyle="1" w:styleId="a0">
    <w:basedOn w:val="TableNormal2"/>
    <w:tblPr>
      <w:tblStyleRowBandSize w:val="1"/>
      <w:tblStyleColBandSize w:val="1"/>
      <w:tblCellMar>
        <w:left w:w="115" w:type="dxa"/>
        <w:right w:w="115" w:type="dxa"/>
      </w:tblCellMar>
    </w:tblPr>
  </w:style>
  <w:style w:type="table" w:customStyle="1" w:styleId="a1">
    <w:basedOn w:val="TableNormal2"/>
    <w:tblPr>
      <w:tblStyleRowBandSize w:val="1"/>
      <w:tblStyleColBandSize w:val="1"/>
      <w:tblCellMar>
        <w:left w:w="115" w:type="dxa"/>
        <w:right w:w="115" w:type="dxa"/>
      </w:tblCellMar>
    </w:tblPr>
  </w:style>
  <w:style w:type="table" w:customStyle="1" w:styleId="a2">
    <w:basedOn w:val="TableNormal2"/>
    <w:tblPr>
      <w:tblStyleRowBandSize w:val="1"/>
      <w:tblStyleColBandSize w:val="1"/>
      <w:tblCellMar>
        <w:left w:w="115" w:type="dxa"/>
        <w:right w:w="115" w:type="dxa"/>
      </w:tblCellMar>
    </w:tblPr>
  </w:style>
  <w:style w:type="table" w:customStyle="1" w:styleId="a3">
    <w:basedOn w:val="TableNormal2"/>
    <w:pPr>
      <w:spacing w:line="240" w:lineRule="auto"/>
    </w:pPr>
    <w:tblPr>
      <w:tblStyleRowBandSize w:val="1"/>
      <w:tblStyleColBandSize w:val="1"/>
      <w:tblCellMar>
        <w:left w:w="108" w:type="dxa"/>
        <w:right w:w="108" w:type="dxa"/>
      </w:tblCellMar>
    </w:tblPr>
  </w:style>
  <w:style w:type="character" w:customStyle="1" w:styleId="apple-tab-span">
    <w:name w:val="apple-tab-span"/>
    <w:basedOn w:val="Fontepargpadro"/>
    <w:rsid w:val="00B607E3"/>
  </w:style>
  <w:style w:type="paragraph" w:styleId="Reviso">
    <w:name w:val="Revision"/>
    <w:hidden/>
    <w:uiPriority w:val="99"/>
    <w:semiHidden/>
    <w:rsid w:val="004F1E5B"/>
    <w:pPr>
      <w:spacing w:line="240" w:lineRule="auto"/>
      <w:jc w:val="left"/>
    </w:pPr>
    <w:rPr>
      <w:rFonts w:eastAsia="Calibri" w:cs="Calibri"/>
    </w:rPr>
  </w:style>
  <w:style w:type="table" w:customStyle="1" w:styleId="a4">
    <w:basedOn w:val="TableNormal2"/>
    <w:pPr>
      <w:spacing w:line="240" w:lineRule="auto"/>
    </w:pPr>
    <w:tblPr>
      <w:tblStyleRowBandSize w:val="1"/>
      <w:tblStyleColBandSize w:val="1"/>
      <w:tblCellMar>
        <w:left w:w="108" w:type="dxa"/>
        <w:right w:w="108" w:type="dxa"/>
      </w:tblCellMar>
    </w:tblPr>
  </w:style>
  <w:style w:type="table" w:customStyle="1" w:styleId="a5">
    <w:basedOn w:val="TableNormal2"/>
    <w:pPr>
      <w:spacing w:line="240" w:lineRule="auto"/>
    </w:pPr>
    <w:tblPr>
      <w:tblStyleRowBandSize w:val="1"/>
      <w:tblStyleColBandSize w:val="1"/>
      <w:tblCellMar>
        <w:left w:w="108" w:type="dxa"/>
        <w:right w:w="108" w:type="dxa"/>
      </w:tblCellMar>
    </w:tblPr>
  </w:style>
  <w:style w:type="table" w:customStyle="1" w:styleId="a6">
    <w:basedOn w:val="TableNormal2"/>
    <w:pPr>
      <w:spacing w:line="240" w:lineRule="auto"/>
    </w:pPr>
    <w:tblPr>
      <w:tblStyleRowBandSize w:val="1"/>
      <w:tblStyleColBandSize w:val="1"/>
      <w:tblCellMar>
        <w:left w:w="108" w:type="dxa"/>
        <w:right w:w="108" w:type="dxa"/>
      </w:tblCellMar>
    </w:tblPr>
  </w:style>
  <w:style w:type="table" w:customStyle="1" w:styleId="a7">
    <w:basedOn w:val="TableNormal2"/>
    <w:pPr>
      <w:spacing w:line="240" w:lineRule="auto"/>
    </w:pPr>
    <w:tblPr>
      <w:tblStyleRowBandSize w:val="1"/>
      <w:tblStyleColBandSize w:val="1"/>
      <w:tblCellMar>
        <w:left w:w="108" w:type="dxa"/>
        <w:right w:w="108" w:type="dxa"/>
      </w:tblCellMar>
    </w:tblPr>
  </w:style>
  <w:style w:type="table" w:customStyle="1" w:styleId="a8">
    <w:basedOn w:val="TableNormal2"/>
    <w:pPr>
      <w:spacing w:line="240" w:lineRule="auto"/>
    </w:pPr>
    <w:tblPr>
      <w:tblStyleRowBandSize w:val="1"/>
      <w:tblStyleColBandSize w:val="1"/>
      <w:tblCellMar>
        <w:left w:w="108" w:type="dxa"/>
        <w:right w:w="108" w:type="dxa"/>
      </w:tblCellMar>
    </w:tblPr>
  </w:style>
  <w:style w:type="table" w:customStyle="1" w:styleId="a9">
    <w:basedOn w:val="TableNormal2"/>
    <w:pPr>
      <w:spacing w:line="240" w:lineRule="auto"/>
    </w:pPr>
    <w:tblPr>
      <w:tblStyleRowBandSize w:val="1"/>
      <w:tblStyleColBandSize w:val="1"/>
      <w:tblCellMar>
        <w:left w:w="108" w:type="dxa"/>
        <w:right w:w="108" w:type="dxa"/>
      </w:tblCellMar>
    </w:tblPr>
  </w:style>
  <w:style w:type="paragraph" w:customStyle="1" w:styleId="pf0">
    <w:name w:val="pf0"/>
    <w:basedOn w:val="Normal"/>
    <w:rsid w:val="00766FBC"/>
    <w:pPr>
      <w:spacing w:before="100" w:beforeAutospacing="1" w:after="100" w:afterAutospacing="1" w:line="240" w:lineRule="auto"/>
      <w:jc w:val="left"/>
    </w:pPr>
    <w:rPr>
      <w:rFonts w:eastAsia="Times New Roman" w:cs="Times New Roman"/>
    </w:rPr>
  </w:style>
  <w:style w:type="character" w:customStyle="1" w:styleId="cf01">
    <w:name w:val="cf01"/>
    <w:basedOn w:val="Fontepargpadro"/>
    <w:rsid w:val="00766FBC"/>
    <w:rPr>
      <w:rFonts w:ascii="Segoe UI" w:hAnsi="Segoe UI" w:cs="Segoe UI" w:hint="default"/>
      <w:sz w:val="18"/>
      <w:szCs w:val="18"/>
    </w:rPr>
  </w:style>
  <w:style w:type="character" w:styleId="Forte">
    <w:name w:val="Strong"/>
    <w:basedOn w:val="Fontepargpadro"/>
    <w:uiPriority w:val="22"/>
    <w:qFormat/>
    <w:rsid w:val="00B91F06"/>
    <w:rPr>
      <w:b/>
      <w:bCs/>
    </w:rPr>
  </w:style>
  <w:style w:type="character" w:customStyle="1" w:styleId="refctt">
    <w:name w:val="refctt"/>
    <w:basedOn w:val="Fontepargpadro"/>
    <w:rsid w:val="00B91F06"/>
  </w:style>
  <w:style w:type="table" w:customStyle="1" w:styleId="aa">
    <w:basedOn w:val="TableNormal1"/>
    <w:pPr>
      <w:spacing w:line="240" w:lineRule="auto"/>
    </w:pPr>
    <w:tblPr>
      <w:tblStyleRowBandSize w:val="1"/>
      <w:tblStyleColBandSize w:val="1"/>
      <w:tblCellMar>
        <w:left w:w="108" w:type="dxa"/>
        <w:right w:w="108" w:type="dxa"/>
      </w:tblCellMar>
    </w:tblPr>
  </w:style>
  <w:style w:type="table" w:customStyle="1" w:styleId="ab">
    <w:basedOn w:val="TableNormal1"/>
    <w:tblPr>
      <w:tblStyleRowBandSize w:val="1"/>
      <w:tblStyleColBandSize w:val="1"/>
      <w:tblCellMar>
        <w:top w:w="15" w:type="dxa"/>
        <w:left w:w="15" w:type="dxa"/>
        <w:bottom w:w="15" w:type="dxa"/>
        <w:right w:w="15" w:type="dxa"/>
      </w:tblCellMar>
    </w:tblPr>
  </w:style>
  <w:style w:type="table" w:customStyle="1" w:styleId="ac">
    <w:basedOn w:val="TableNormal1"/>
    <w:pPr>
      <w:spacing w:line="240" w:lineRule="auto"/>
    </w:pPr>
    <w:tblPr>
      <w:tblStyleRowBandSize w:val="1"/>
      <w:tblStyleColBandSize w:val="1"/>
      <w:tblCellMar>
        <w:left w:w="108" w:type="dxa"/>
        <w:right w:w="108" w:type="dxa"/>
      </w:tblCellMar>
    </w:tblPr>
  </w:style>
  <w:style w:type="table" w:customStyle="1" w:styleId="ad">
    <w:basedOn w:val="TableNormal1"/>
    <w:pPr>
      <w:spacing w:line="240" w:lineRule="auto"/>
    </w:pPr>
    <w:tblPr>
      <w:tblStyleRowBandSize w:val="1"/>
      <w:tblStyleColBandSize w:val="1"/>
      <w:tblCellMar>
        <w:left w:w="108" w:type="dxa"/>
        <w:right w:w="108" w:type="dxa"/>
      </w:tblCellMar>
    </w:tblPr>
  </w:style>
  <w:style w:type="table" w:customStyle="1" w:styleId="ae">
    <w:basedOn w:val="TableNormal1"/>
    <w:pPr>
      <w:spacing w:line="240" w:lineRule="auto"/>
    </w:pPr>
    <w:tblPr>
      <w:tblStyleRowBandSize w:val="1"/>
      <w:tblStyleColBandSize w:val="1"/>
      <w:tblCellMar>
        <w:left w:w="108" w:type="dxa"/>
        <w:right w:w="108" w:type="dxa"/>
      </w:tblCellMar>
    </w:tblPr>
  </w:style>
  <w:style w:type="table" w:customStyle="1" w:styleId="af">
    <w:basedOn w:val="TableNormal1"/>
    <w:pPr>
      <w:spacing w:line="240" w:lineRule="auto"/>
    </w:pPr>
    <w:tblPr>
      <w:tblStyleRowBandSize w:val="1"/>
      <w:tblStyleColBandSize w:val="1"/>
      <w:tblCellMar>
        <w:left w:w="108" w:type="dxa"/>
        <w:right w:w="108" w:type="dxa"/>
      </w:tblCellMar>
    </w:tblPr>
  </w:style>
  <w:style w:type="table" w:customStyle="1" w:styleId="af0">
    <w:basedOn w:val="TableNormal1"/>
    <w:pPr>
      <w:spacing w:line="240" w:lineRule="auto"/>
    </w:pPr>
    <w:tblPr>
      <w:tblStyleRowBandSize w:val="1"/>
      <w:tblStyleColBandSize w:val="1"/>
      <w:tblCellMar>
        <w:left w:w="108" w:type="dxa"/>
        <w:right w:w="108" w:type="dxa"/>
      </w:tblCellMar>
    </w:tblPr>
  </w:style>
  <w:style w:type="paragraph" w:styleId="Textodenotaderodap">
    <w:name w:val="footnote text"/>
    <w:basedOn w:val="Normal"/>
    <w:link w:val="TextodenotaderodapChar"/>
    <w:uiPriority w:val="99"/>
    <w:semiHidden/>
    <w:unhideWhenUsed/>
    <w:rsid w:val="0036283E"/>
    <w:pPr>
      <w:spacing w:line="240" w:lineRule="auto"/>
    </w:pPr>
    <w:rPr>
      <w:sz w:val="20"/>
      <w:szCs w:val="20"/>
    </w:rPr>
  </w:style>
  <w:style w:type="character" w:customStyle="1" w:styleId="TextodenotaderodapChar">
    <w:name w:val="Texto de nota de rodapé Char"/>
    <w:basedOn w:val="Fontepargpadro"/>
    <w:link w:val="Textodenotaderodap"/>
    <w:uiPriority w:val="99"/>
    <w:semiHidden/>
    <w:rsid w:val="0036283E"/>
    <w:rPr>
      <w:rFonts w:eastAsia="Calibri" w:cs="Calibri"/>
      <w:sz w:val="20"/>
      <w:szCs w:val="20"/>
    </w:rPr>
  </w:style>
  <w:style w:type="character" w:styleId="Refdenotaderodap">
    <w:name w:val="footnote reference"/>
    <w:basedOn w:val="Fontepargpadro"/>
    <w:uiPriority w:val="99"/>
    <w:semiHidden/>
    <w:unhideWhenUsed/>
    <w:rsid w:val="0036283E"/>
    <w:rPr>
      <w:vertAlign w:val="superscript"/>
    </w:rPr>
  </w:style>
  <w:style w:type="paragraph" w:styleId="Pr-formataoHTML">
    <w:name w:val="HTML Preformatted"/>
    <w:basedOn w:val="Normal"/>
    <w:link w:val="Pr-formataoHTMLChar"/>
    <w:uiPriority w:val="99"/>
    <w:semiHidden/>
    <w:unhideWhenUsed/>
    <w:rsid w:val="007419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semiHidden/>
    <w:rsid w:val="00741982"/>
    <w:rPr>
      <w:rFonts w:ascii="Courier New" w:hAnsi="Courier New" w:cs="Courier New"/>
      <w:sz w:val="20"/>
      <w:szCs w:val="20"/>
    </w:rPr>
  </w:style>
  <w:style w:type="character" w:styleId="HiperlinkVisitado">
    <w:name w:val="FollowedHyperlink"/>
    <w:basedOn w:val="Fontepargpadro"/>
    <w:uiPriority w:val="99"/>
    <w:semiHidden/>
    <w:unhideWhenUsed/>
    <w:rsid w:val="00741982"/>
    <w:rPr>
      <w:color w:val="954F72" w:themeColor="followedHyperlink"/>
      <w:u w:val="single"/>
    </w:rPr>
  </w:style>
  <w:style w:type="table" w:customStyle="1" w:styleId="af1">
    <w:basedOn w:val="TableNormal0"/>
    <w:pPr>
      <w:spacing w:line="240" w:lineRule="auto"/>
    </w:pPr>
    <w:tblPr>
      <w:tblStyleRowBandSize w:val="1"/>
      <w:tblStyleColBandSize w:val="1"/>
      <w:tblCellMar>
        <w:top w:w="15" w:type="dxa"/>
        <w:left w:w="108" w:type="dxa"/>
        <w:bottom w:w="15" w:type="dxa"/>
        <w:right w:w="108" w:type="dxa"/>
      </w:tblCellMar>
    </w:tblPr>
  </w:style>
  <w:style w:type="table" w:customStyle="1" w:styleId="af2">
    <w:basedOn w:val="TableNormal0"/>
    <w:pPr>
      <w:spacing w:line="240" w:lineRule="auto"/>
    </w:pPr>
    <w:tblPr>
      <w:tblStyleRowBandSize w:val="1"/>
      <w:tblStyleColBandSize w:val="1"/>
      <w:tblCellMar>
        <w:top w:w="15" w:type="dxa"/>
        <w:left w:w="108" w:type="dxa"/>
        <w:bottom w:w="15" w:type="dxa"/>
        <w:right w:w="108" w:type="dxa"/>
      </w:tblCellMar>
    </w:tblPr>
  </w:style>
  <w:style w:type="table" w:customStyle="1" w:styleId="af3">
    <w:basedOn w:val="TableNormal0"/>
    <w:pPr>
      <w:spacing w:line="240" w:lineRule="auto"/>
    </w:pPr>
    <w:tblPr>
      <w:tblStyleRowBandSize w:val="1"/>
      <w:tblStyleColBandSize w:val="1"/>
      <w:tblCellMar>
        <w:top w:w="15" w:type="dxa"/>
        <w:left w:w="108" w:type="dxa"/>
        <w:bottom w:w="15" w:type="dxa"/>
        <w:right w:w="108" w:type="dxa"/>
      </w:tblCellMar>
    </w:tblPr>
  </w:style>
  <w:style w:type="table" w:customStyle="1" w:styleId="af4">
    <w:basedOn w:val="TableNormal0"/>
    <w:pPr>
      <w:spacing w:line="240" w:lineRule="auto"/>
    </w:pPr>
    <w:tblPr>
      <w:tblStyleRowBandSize w:val="1"/>
      <w:tblStyleColBandSize w:val="1"/>
      <w:tblCellMar>
        <w:top w:w="15" w:type="dxa"/>
        <w:left w:w="108" w:type="dxa"/>
        <w:bottom w:w="15" w:type="dxa"/>
        <w:right w:w="108" w:type="dxa"/>
      </w:tblCellMar>
    </w:tblPr>
  </w:style>
  <w:style w:type="table" w:customStyle="1" w:styleId="af5">
    <w:basedOn w:val="TableNormal0"/>
    <w:pPr>
      <w:spacing w:line="240" w:lineRule="auto"/>
    </w:pPr>
    <w:tblPr>
      <w:tblStyleRowBandSize w:val="1"/>
      <w:tblStyleColBandSize w:val="1"/>
      <w:tblCellMar>
        <w:top w:w="15" w:type="dxa"/>
        <w:left w:w="108" w:type="dxa"/>
        <w:bottom w:w="15" w:type="dxa"/>
        <w:right w:w="108" w:type="dxa"/>
      </w:tblCellMar>
    </w:tblPr>
  </w:style>
  <w:style w:type="table" w:customStyle="1" w:styleId="af6">
    <w:basedOn w:val="TableNormal0"/>
    <w:pPr>
      <w:spacing w:line="240" w:lineRule="auto"/>
    </w:pPr>
    <w:tblPr>
      <w:tblStyleRowBandSize w:val="1"/>
      <w:tblStyleColBandSize w:val="1"/>
      <w:tblCellMar>
        <w:top w:w="15" w:type="dxa"/>
        <w:left w:w="108" w:type="dxa"/>
        <w:bottom w:w="15" w:type="dxa"/>
        <w:right w:w="108" w:type="dxa"/>
      </w:tblCellMar>
    </w:tblPr>
  </w:style>
  <w:style w:type="table" w:customStyle="1" w:styleId="af7">
    <w:basedOn w:val="TableNormal0"/>
    <w:pPr>
      <w:spacing w:line="240" w:lineRule="auto"/>
    </w:pPr>
    <w:tblPr>
      <w:tblStyleRowBandSize w:val="1"/>
      <w:tblStyleColBandSize w:val="1"/>
      <w:tblCellMar>
        <w:top w:w="15" w:type="dxa"/>
        <w:left w:w="108" w:type="dxa"/>
        <w:bottom w:w="15"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22481/reed.v2i4.8470" TargetMode="External"/><Relationship Id="rId21" Type="http://schemas.openxmlformats.org/officeDocument/2006/relationships/hyperlink" Target="https://doi.org/10.4025/psicolestud.v27i0.48317" TargetMode="External"/><Relationship Id="rId42" Type="http://schemas.openxmlformats.org/officeDocument/2006/relationships/hyperlink" Target="http://repositorio.ufes.br/handle/10/9059" TargetMode="External"/><Relationship Id="rId63" Type="http://schemas.openxmlformats.org/officeDocument/2006/relationships/hyperlink" Target="https://convid.fiocruz.br/index.php?pag=apresentacao_resultado_adolescentes" TargetMode="External"/><Relationship Id="rId84" Type="http://schemas.openxmlformats.org/officeDocument/2006/relationships/hyperlink" Target="https://dx.doi.org/10.1590/S1414-98932009000300009" TargetMode="External"/><Relationship Id="rId138" Type="http://schemas.openxmlformats.org/officeDocument/2006/relationships/image" Target="media/image6.png"/><Relationship Id="rId107" Type="http://schemas.openxmlformats.org/officeDocument/2006/relationships/hyperlink" Target="http://hdl.handle.net/11449/135963" TargetMode="External"/><Relationship Id="rId11" Type="http://schemas.openxmlformats.org/officeDocument/2006/relationships/header" Target="header1.xml"/><Relationship Id="rId32" Type="http://schemas.openxmlformats.org/officeDocument/2006/relationships/hyperlink" Target="https://www.gov.br/mdh/pt-br/navegue-por-temas/crianca-e-adolescente/LevantamentoAnualdoSINASE2017.pdf" TargetMode="External"/><Relationship Id="rId37" Type="http://schemas.openxmlformats.org/officeDocument/2006/relationships/hyperlink" Target="https://www.ipea.gov.br/atlasviolencia/arquivos/artigos/5141-atlasdaviolencia2021completo.pdf" TargetMode="External"/><Relationship Id="rId53" Type="http://schemas.openxmlformats.org/officeDocument/2006/relationships/hyperlink" Target="https://doi.org/10.1542/peds.2020-1306" TargetMode="External"/><Relationship Id="rId58" Type="http://schemas.openxmlformats.org/officeDocument/2006/relationships/hyperlink" Target="https://doi.org/10.1542/peds.2020-0702" TargetMode="External"/><Relationship Id="rId74" Type="http://schemas.openxmlformats.org/officeDocument/2006/relationships/hyperlink" Target="https://doi.org/10.18759/rdgf.v17i2.813" TargetMode="External"/><Relationship Id="rId79" Type="http://schemas.openxmlformats.org/officeDocument/2006/relationships/hyperlink" Target="https://doi.org/10.1590/2175-3539/2015/0192846" TargetMode="External"/><Relationship Id="rId102" Type="http://schemas.openxmlformats.org/officeDocument/2006/relationships/hyperlink" Target="https://covid19.who.int/" TargetMode="External"/><Relationship Id="rId123" Type="http://schemas.openxmlformats.org/officeDocument/2006/relationships/hyperlink" Target="https://doi.org/10.1590/1413-812320202510.17622018" TargetMode="External"/><Relationship Id="rId128" Type="http://schemas.openxmlformats.org/officeDocument/2006/relationships/hyperlink" Target="https://www.un.org/sites/un2.un.org/files/un_policy_brief-covid_and_mental_health_final.pdf" TargetMode="External"/><Relationship Id="rId5" Type="http://schemas.openxmlformats.org/officeDocument/2006/relationships/webSettings" Target="webSettings.xml"/><Relationship Id="rId90" Type="http://schemas.openxmlformats.org/officeDocument/2006/relationships/hyperlink" Target="https://repositorio.furg.br/bitstream/handle/1/1213/Perspectivas%20de%20adolescentes%20em%20conflito%20com%20a%20lei%20sobre%20o%20delito.pdf?sequence=1" TargetMode="External"/><Relationship Id="rId95" Type="http://schemas.openxmlformats.org/officeDocument/2006/relationships/hyperlink" Target="http://www.revistapathos.com.br/volumes/volume-07/03.pdf" TargetMode="External"/><Relationship Id="rId22" Type="http://schemas.openxmlformats.org/officeDocument/2006/relationships/hyperlink" Target="https://doi.org/10.1057/s41287-020-00325-5" TargetMode="External"/><Relationship Id="rId27" Type="http://schemas.openxmlformats.org/officeDocument/2006/relationships/hyperlink" Target="https://publicaciones.sociales.uba.ar/index.php/observatoriolatinoamericano/article/view/6026/5719" TargetMode="External"/><Relationship Id="rId43" Type="http://schemas.openxmlformats.org/officeDocument/2006/relationships/hyperlink" Target="https://doi.org/10.15448/1980-8623.2018.2.27890" TargetMode="External"/><Relationship Id="rId48" Type="http://schemas.openxmlformats.org/officeDocument/2006/relationships/hyperlink" Target="https://doi.org/10.1590/1807-0310/2021v33221808" TargetMode="External"/><Relationship Id="rId64" Type="http://schemas.openxmlformats.org/officeDocument/2006/relationships/hyperlink" Target="https://www.fiocruzbrasilia.fiocruz.br/wp-content/uploads/2020/04/Sa%C3%BAde-Mental-e-Aten%C3%A7%C3%A3o-Psicossocial-na-Pandemia-Covid-19-recomenda%C3%A7%C3%B5es-para-gestores.pdf" TargetMode="External"/><Relationship Id="rId69" Type="http://schemas.openxmlformats.org/officeDocument/2006/relationships/hyperlink" Target="https://www.unicef.org/brazil/comunicados-de-imprensa/dois-milhoes-de-criancas-e-adolescentes-de-11-a-19-anos-nao-estao-frequentando-a-escola-no-brasil" TargetMode="External"/><Relationship Id="rId113" Type="http://schemas.openxmlformats.org/officeDocument/2006/relationships/hyperlink" Target="https://doi.org/10.7476/9786557080320" TargetMode="External"/><Relationship Id="rId118" Type="http://schemas.openxmlformats.org/officeDocument/2006/relationships/hyperlink" Target="https://doi.org/10.5212/retepe.v.6.18357.006" TargetMode="External"/><Relationship Id="rId134" Type="http://schemas.openxmlformats.org/officeDocument/2006/relationships/hyperlink" Target="https://doi.org/10.5007/2175-7984.2021.78764" TargetMode="External"/><Relationship Id="rId139" Type="http://schemas.openxmlformats.org/officeDocument/2006/relationships/image" Target="media/image7.png"/><Relationship Id="rId80" Type="http://schemas.openxmlformats.org/officeDocument/2006/relationships/hyperlink" Target="https://www.planalto.gov.br/ccivil_03/leis/l8069.htm" TargetMode="External"/><Relationship Id="rId85" Type="http://schemas.openxmlformats.org/officeDocument/2006/relationships/hyperlink" Target="about:blank" TargetMode="External"/><Relationship Id="rId12" Type="http://schemas.openxmlformats.org/officeDocument/2006/relationships/footer" Target="footer2.xml"/><Relationship Id="rId17" Type="http://schemas.openxmlformats.org/officeDocument/2006/relationships/chart" Target="charts/chart3.xml"/><Relationship Id="rId33" Type="http://schemas.openxmlformats.org/officeDocument/2006/relationships/hyperlink" Target="https://covid.saude.gov.br/" TargetMode="External"/><Relationship Id="rId38" Type="http://schemas.openxmlformats.org/officeDocument/2006/relationships/hyperlink" Target="https://www.mds.gov.br/webarquivos/publicacao/assistencia_social/Cadernos/Plano_Defesa_CriancasAdolescentes%20.pdf" TargetMode="External"/><Relationship Id="rId59" Type="http://schemas.openxmlformats.org/officeDocument/2006/relationships/hyperlink" Target="https://repositorio.ul.pt/handle/10451/55635" TargetMode="External"/><Relationship Id="rId103" Type="http://schemas.openxmlformats.org/officeDocument/2006/relationships/hyperlink" Target="https://www.paho.org/pt/noticias/15-9-2021-criancas-e-adolescentes-estao-sendo-profundamente-impactados-pela-pandemia-covid" TargetMode="External"/><Relationship Id="rId108" Type="http://schemas.openxmlformats.org/officeDocument/2006/relationships/hyperlink" Target="https://doi.org/10.21680/1981-1802.2016v54n42ID10958" TargetMode="External"/><Relationship Id="rId124" Type="http://schemas.openxmlformats.org/officeDocument/2006/relationships/hyperlink" Target="http://pepsic.bvsalud.org/scielo.php?script=sci_%20arttext&amp;pid=S1516-36872015000200004&amp;lng=pt&amp;tlng=pt" TargetMode="External"/><Relationship Id="rId129" Type="http://schemas.openxmlformats.org/officeDocument/2006/relationships/hyperlink" Target="https://www.unicef.org/media/114636/file/SOWC-2021-full-report-English.pdf" TargetMode="External"/><Relationship Id="rId54" Type="http://schemas.openxmlformats.org/officeDocument/2006/relationships/hyperlink" Target="https://doi.org/10.54948/desidades.voi31.46041" TargetMode="External"/><Relationship Id="rId70" Type="http://schemas.openxmlformats.org/officeDocument/2006/relationships/hyperlink" Target="https://doi.org/10.1590/1980-220X-REEUSP-2021-0424" TargetMode="External"/><Relationship Id="rId75" Type="http://schemas.openxmlformats.org/officeDocument/2006/relationships/hyperlink" Target="https://www.bdtd.uerj.br:8443/handle/1/15184" TargetMode="External"/><Relationship Id="rId91" Type="http://schemas.openxmlformats.org/officeDocument/2006/relationships/hyperlink" Target="https://nacoesunidas.org/relatora-da-onu-estados-devem-combater-violencia-domestica-na-quarentena-por-covid-19/" TargetMode="External"/><Relationship Id="rId96" Type="http://schemas.openxmlformats.org/officeDocument/2006/relationships/hyperlink" Target="https://dx.doi.org/10.22491/1678-4669.20200014" TargetMode="External"/><Relationship Id="rId14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revistaseletronicas.pucrs.br/ojs/index.php/faced/article/view/7618/6784" TargetMode="External"/><Relationship Id="rId28" Type="http://schemas.openxmlformats.org/officeDocument/2006/relationships/hyperlink" Target="https://doi.org/10.31892/rbpab2525-426X.2021.v6.n18.p774-789" TargetMode="External"/><Relationship Id="rId49" Type="http://schemas.openxmlformats.org/officeDocument/2006/relationships/hyperlink" Target="http://dx.doi.org/10.33448/rsd-v10i10.18730" TargetMode="External"/><Relationship Id="rId114" Type="http://schemas.openxmlformats.org/officeDocument/2006/relationships/hyperlink" Target="http://dx.doi.org/10.17346/se.vol29.400" TargetMode="External"/><Relationship Id="rId119" Type="http://schemas.openxmlformats.org/officeDocument/2006/relationships/hyperlink" Target="https://fontesegura.forumseguranca.org.br/wp-content/uploads/2022/04/Ed_53_(Multiplas_vozes)_Covid-19-e-os-adolescentes-em-medida-socioeducativa-de-internacao.pdf" TargetMode="External"/><Relationship Id="rId44" Type="http://schemas.openxmlformats.org/officeDocument/2006/relationships/hyperlink" Target="https://doi.org/10.22235/cp.v12i1.1601" TargetMode="External"/><Relationship Id="rId60" Type="http://schemas.openxmlformats.org/officeDocument/2006/relationships/hyperlink" Target="https://doi.org/10.17058/agora.v22i2.15461" TargetMode="External"/><Relationship Id="rId65" Type="http://schemas.openxmlformats.org/officeDocument/2006/relationships/hyperlink" Target="https://www.unicef.org/brazil/comunicados-de-imprensa/unicef-alerta-situacao-de-criancas-e-adolescentes-se-agravou-consideravelmente-apos-nove-meses-pandemia" TargetMode="External"/><Relationship Id="rId81" Type="http://schemas.openxmlformats.org/officeDocument/2006/relationships/hyperlink" Target="https://www.planalto.gov.br/ccivil_03/_Ato2011-2014/2012/Lei/L12594.htm" TargetMode="External"/><Relationship Id="rId86" Type="http://schemas.openxmlformats.org/officeDocument/2006/relationships/hyperlink" Target="http://pepsic.bvsalud.org/scielo.php?script=sci_arttext&amp;pid=S1808-42812015000200008&amp;lng=pt&amp;tlng=pt" TargetMode="External"/><Relationship Id="rId130" Type="http://schemas.openxmlformats.org/officeDocument/2006/relationships/hyperlink" Target="https://en.unesco.org/covid19/educationresponse" TargetMode="External"/><Relationship Id="rId135" Type="http://schemas.openxmlformats.org/officeDocument/2006/relationships/hyperlink" Target="https://apps.who.int/iris/bitstream/handle/10665/331699/WHO-SRH-20.04-eng.pdf?ua=1" TargetMode="External"/><Relationship Id="rId13" Type="http://schemas.openxmlformats.org/officeDocument/2006/relationships/footer" Target="footer3.xml"/><Relationship Id="rId18" Type="http://schemas.openxmlformats.org/officeDocument/2006/relationships/hyperlink" Target="https://g1.globo.com/sp/sao-paulo/noticia/2022/07/22/estado-de-sp-e-fundacao-casa-sao-condenados-a-pagar-indenizacao-de-r-3-milhoes-por-tortura-e-maus-tratos-contra-adolescentes.ghtml" TargetMode="External"/><Relationship Id="rId39" Type="http://schemas.openxmlformats.org/officeDocument/2006/relationships/hyperlink" Target="https://atlasdasjuventudes.com.br/wp-content/uploads/2021/11/ATLAS-DAS-JUVENTUDES-2021-COMPLETO.pdf" TargetMode="External"/><Relationship Id="rId109" Type="http://schemas.openxmlformats.org/officeDocument/2006/relationships/hyperlink" Target="https://doi.org/10.1590/0102.3772e34426" TargetMode="External"/><Relationship Id="rId34" Type="http://schemas.openxmlformats.org/officeDocument/2006/relationships/hyperlink" Target="https://www.tandfonline.com/doi/abs/10.1191/1478088706qp063oa" TargetMode="External"/><Relationship Id="rId50" Type="http://schemas.openxmlformats.org/officeDocument/2006/relationships/hyperlink" Target="https://repositorio.ufpb.br/jspui/handle/tede/9109" TargetMode="External"/><Relationship Id="rId55" Type="http://schemas.openxmlformats.org/officeDocument/2006/relationships/hyperlink" Target="https://www2.camara.leg.br/legin/fed/decret/2020/decreto-10282-20-marco-2020-789863-publicacaooriginal-160165-pe.html" TargetMode="External"/><Relationship Id="rId76" Type="http://schemas.openxmlformats.org/officeDocument/2006/relationships/hyperlink" Target="https://agenciadenoticias.ibge.gov.br/agencia-noticias/2012-agencia-de-noticias/noticias/25883-abandono-escolar-e-oito-vezes-maior-entre-jovens-de-familias-mais-pobres" TargetMode="External"/><Relationship Id="rId97" Type="http://schemas.openxmlformats.org/officeDocument/2006/relationships/hyperlink" Target="https://www.oecd.org/coronavirus/en/policy-responses" TargetMode="External"/><Relationship Id="rId104" Type="http://schemas.openxmlformats.org/officeDocument/2006/relationships/hyperlink" Target="http://publicacoes.unigranrio.edu.br/index.php/amp/article/view/6631/3372" TargetMode="External"/><Relationship Id="rId120" Type="http://schemas.openxmlformats.org/officeDocument/2006/relationships/hyperlink" Target="https://dx.doi.org/10.1590/1807-03102015v27n3p505" TargetMode="External"/><Relationship Id="rId125" Type="http://schemas.openxmlformats.org/officeDocument/2006/relationships/hyperlink" Target="https://doi.org/10.31060/rbsp.2022.v16.n3.1653" TargetMode="External"/><Relationship Id="rId141" Type="http://schemas.openxmlformats.org/officeDocument/2006/relationships/image" Target="media/image9.png"/><Relationship Id="rId7" Type="http://schemas.openxmlformats.org/officeDocument/2006/relationships/endnotes" Target="endnotes.xml"/><Relationship Id="rId71" Type="http://schemas.openxmlformats.org/officeDocument/2006/relationships/hyperlink" Target="https://doi.org/10.1590/s0103-4014.2020.34100.003" TargetMode="External"/><Relationship Id="rId92" Type="http://schemas.openxmlformats.org/officeDocument/2006/relationships/hyperlink" Target="https://brasil.un.org/pt-br/85787-oms-o-impacto-da-pandemia-na-sa%C3%BAde-mental-das-pessoas-j%C3%A1-%C3%A9-extremamente-preocupante" TargetMode="External"/><Relationship Id="rId2" Type="http://schemas.openxmlformats.org/officeDocument/2006/relationships/numbering" Target="numbering.xml"/><Relationship Id="rId29" Type="http://schemas.openxmlformats.org/officeDocument/2006/relationships/hyperlink" Target="https://doi.org/10.7476/9786557080320" TargetMode="External"/><Relationship Id="rId24" Type="http://schemas.openxmlformats.org/officeDocument/2006/relationships/hyperlink" Target="https://periodicos.uepa.br/index.php/cocar/article/view/4787" TargetMode="External"/><Relationship Id="rId40" Type="http://schemas.openxmlformats.org/officeDocument/2006/relationships/hyperlink" Target="https://atlasdasjuventudes.com.br/wp-content/uploads/2021/11/ATLAS-DAS-JUVENTUDES-2021-COMPLETO.pdf" TargetMode="External"/><Relationship Id="rId45" Type="http://schemas.openxmlformats.org/officeDocument/2006/relationships/hyperlink" Target="http://dx.doi.org/10.11600/1692715x.17214" TargetMode="External"/><Relationship Id="rId66" Type="http://schemas.openxmlformats.org/officeDocument/2006/relationships/hyperlink" Target="https://www.unicef.org/brazil/comunicados-de-imprensa/covid-19-mais-de-97-por-cento-dos-estudantes-ainda-estao-fora-das-salas-de-aula-na-america-latina-e-no-caribe" TargetMode="External"/><Relationship Id="rId87" Type="http://schemas.openxmlformats.org/officeDocument/2006/relationships/hyperlink" Target="https://doi.org/10.21171/ges.v14i39.3259" TargetMode="External"/><Relationship Id="rId110" Type="http://schemas.openxmlformats.org/officeDocument/2006/relationships/hyperlink" Target="https://dx.doi.org/10.12957/epp.2020.50793" TargetMode="External"/><Relationship Id="rId115" Type="http://schemas.openxmlformats.org/officeDocument/2006/relationships/hyperlink" Target="http://dx.doi.org/10.1590/S1516-73132013000100003" TargetMode="External"/><Relationship Id="rId131" Type="http://schemas.openxmlformats.org/officeDocument/2006/relationships/hyperlink" Target="https://doi.org/10.1590/2175-6236109337" TargetMode="External"/><Relationship Id="rId136" Type="http://schemas.openxmlformats.org/officeDocument/2006/relationships/image" Target="media/image4.png"/><Relationship Id="rId61" Type="http://schemas.openxmlformats.org/officeDocument/2006/relationships/hyperlink" Target="https://forumseguranca.org.br/wp-content/uploads/2022/06/anuario-2022.pdf?v=15" TargetMode="External"/><Relationship Id="rId82" Type="http://schemas.openxmlformats.org/officeDocument/2006/relationships/hyperlink" Target="https://doi.org/10.3389/feduc.2023.1007807" TargetMode="External"/><Relationship Id="rId19" Type="http://schemas.openxmlformats.org/officeDocument/2006/relationships/hyperlink" Target="https://resourcecentre.savethechildren.net/node/17330/pdf/covid-19_tn_portuguese.pdf" TargetMode="External"/><Relationship Id="rId14" Type="http://schemas.openxmlformats.org/officeDocument/2006/relationships/image" Target="media/image3.png"/><Relationship Id="rId30" Type="http://schemas.openxmlformats.org/officeDocument/2006/relationships/hyperlink" Target="http://www.planalto.gov.br/ccivil_03/constituicao/constituicao.htm" TargetMode="External"/><Relationship Id="rId35" Type="http://schemas.openxmlformats.org/officeDocument/2006/relationships/hyperlink" Target="https://doi.org/10.1111/apa.15536" TargetMode="External"/><Relationship Id="rId56" Type="http://schemas.openxmlformats.org/officeDocument/2006/relationships/hyperlink" Target="http://dx.doi.org/10.5380/psi.v19i2.35218" TargetMode="External"/><Relationship Id="rId77" Type="http://schemas.openxmlformats.org/officeDocument/2006/relationships/hyperlink" Target="https://doi.org/10.1590/1807-03102015v27n2p404" TargetMode="External"/><Relationship Id="rId100" Type="http://schemas.openxmlformats.org/officeDocument/2006/relationships/hyperlink" Target="https://covid19.who.int/" TargetMode="External"/><Relationship Id="rId105" Type="http://schemas.openxmlformats.org/officeDocument/2006/relationships/hyperlink" Target="https://dx.doi.org/10.22491/1678-4669.20200022" TargetMode="External"/><Relationship Id="rId126" Type="http://schemas.openxmlformats.org/officeDocument/2006/relationships/hyperlink" Target="http://pepsic.bvsalud.org/scielo.php?script=sci_arttext&amp;pid=S1516-36872015000200004&amp;lng=pt&amp;tlng=pt" TargetMode="External"/><Relationship Id="rId8" Type="http://schemas.openxmlformats.org/officeDocument/2006/relationships/image" Target="media/image1.png"/><Relationship Id="rId51" Type="http://schemas.openxmlformats.org/officeDocument/2006/relationships/hyperlink" Target="https://doi.org/10.1590/1413-81232017225.33562016" TargetMode="External"/><Relationship Id="rId72" Type="http://schemas.openxmlformats.org/officeDocument/2006/relationships/hyperlink" Target="https://doi.org/10.1016/j.psychres.2020.113264" TargetMode="External"/><Relationship Id="rId93" Type="http://schemas.openxmlformats.org/officeDocument/2006/relationships/hyperlink" Target="http://dx.doi.org/10.15448/1980-8623.2014.4.12978" TargetMode="External"/><Relationship Id="rId98" Type="http://schemas.openxmlformats.org/officeDocument/2006/relationships/hyperlink" Target="https://www.oecd.org/coronavirus/en/policy-responses" TargetMode="External"/><Relationship Id="rId121" Type="http://schemas.openxmlformats.org/officeDocument/2006/relationships/hyperlink" Target="https://doi.org/10.1590/S0102-37722012000100013" TargetMode="External"/><Relationship Id="rId142"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hyperlink" Target="https://doi.org/10.1016/j.worlddev.2020.105247" TargetMode="External"/><Relationship Id="rId46" Type="http://schemas.openxmlformats.org/officeDocument/2006/relationships/hyperlink" Target="https://doi.org/10.1590/0102.3772e3645" TargetMode="External"/><Relationship Id="rId67" Type="http://schemas.openxmlformats.org/officeDocument/2006/relationships/hyperlink" Target="https://www.unicef.org/brazil/media/11331/file/relatorio-analise-impactos-primarios-e-secundarios-da-covid-19-em-criancas-e-adolescentes.pdf" TargetMode="External"/><Relationship Id="rId116" Type="http://schemas.openxmlformats.org/officeDocument/2006/relationships/hyperlink" Target="http://pepsic.bvsalud.org/scielo.php?script=sci_arttext&amp;pid=S0104-78412018000200008&amp;lng=pt&amp;tlng=pt" TargetMode="External"/><Relationship Id="rId137" Type="http://schemas.openxmlformats.org/officeDocument/2006/relationships/image" Target="media/image5.png"/><Relationship Id="rId20" Type="http://schemas.openxmlformats.org/officeDocument/2006/relationships/hyperlink" Target="https://dx.doi.org/10.1590/1982-3703003312016" TargetMode="External"/><Relationship Id="rId41" Type="http://schemas.openxmlformats.org/officeDocument/2006/relationships/hyperlink" Target="https://public.tableau.com/app/profile/cnmp/viz/PanoramaSocioeducativo-InternaoeSemiliberdade/CumprimentoInternao" TargetMode="External"/><Relationship Id="rId62" Type="http://schemas.openxmlformats.org/officeDocument/2006/relationships/hyperlink" Target="https://periodicos.uepa.br/index.php/cocar/article/view/4772" TargetMode="External"/><Relationship Id="rId83" Type="http://schemas.openxmlformats.org/officeDocument/2006/relationships/hyperlink" Target="https://doi.org/10.25118/2236-918X-10-2-8" TargetMode="External"/><Relationship Id="rId88" Type="http://schemas.openxmlformats.org/officeDocument/2006/relationships/hyperlink" Target="https://repositorio.ufjf.br/jspui/bitstream/ufjf/2897/1/julianathimoteonazarenomendes.pdf" TargetMode="External"/><Relationship Id="rId111" Type="http://schemas.openxmlformats.org/officeDocument/2006/relationships/hyperlink" Target="https://atos.cnj.jus.br/files/original235014202010165f8a31b6a561d.pdf" TargetMode="External"/><Relationship Id="rId132" Type="http://schemas.openxmlformats.org/officeDocument/2006/relationships/hyperlink" Target="https://doi.org/10.1001/jamapediatrics.2020.4573" TargetMode="External"/><Relationship Id="rId15" Type="http://schemas.openxmlformats.org/officeDocument/2006/relationships/chart" Target="charts/chart1.xml"/><Relationship Id="rId36" Type="http://schemas.openxmlformats.org/officeDocument/2006/relationships/hyperlink" Target="https://doi.org/10.1590/S0104-12902021210029" TargetMode="External"/><Relationship Id="rId57" Type="http://schemas.openxmlformats.org/officeDocument/2006/relationships/hyperlink" Target="about:blank" TargetMode="External"/><Relationship Id="rId106" Type="http://schemas.openxmlformats.org/officeDocument/2006/relationships/hyperlink" Target="https://bdm.unb.br/handle/10483/31973" TargetMode="External"/><Relationship Id="rId127" Type="http://schemas.openxmlformats.org/officeDocument/2006/relationships/hyperlink" Target="https://dx.doi.org/10.36482/1809-5267.ARBP2019v71i2p.51-67" TargetMode="External"/><Relationship Id="rId10" Type="http://schemas.openxmlformats.org/officeDocument/2006/relationships/footer" Target="footer1.xml"/><Relationship Id="rId31" Type="http://schemas.openxmlformats.org/officeDocument/2006/relationships/hyperlink" Target="https://crianca.mppr.mp.br/arquivos/File/publi/conanda/sinase_integra.pdf" TargetMode="External"/><Relationship Id="rId52" Type="http://schemas.openxmlformats.org/officeDocument/2006/relationships/hyperlink" Target="https://doi.org/10.1590/1984-0462/2022/40/2021118IN" TargetMode="External"/><Relationship Id="rId73" Type="http://schemas.openxmlformats.org/officeDocument/2006/relationships/hyperlink" Target="https://doi.org/10.1590/S1413-81232005000200013" TargetMode="External"/><Relationship Id="rId78" Type="http://schemas.openxmlformats.org/officeDocument/2006/relationships/hyperlink" Target="http://www.degase.rj.gov.br/publicacoes2019/RelatorioPesquisaJovens.pdf" TargetMode="External"/><Relationship Id="rId94" Type="http://schemas.openxmlformats.org/officeDocument/2006/relationships/hyperlink" Target="http://www.icepsc.com.br/ojs/index.php/revistahumanitaris/article/view/473" TargetMode="External"/><Relationship Id="rId99" Type="http://schemas.openxmlformats.org/officeDocument/2006/relationships/hyperlink" Target="https://www.oecd.org/coronavirus/policy-responses/youth-and-covid-19-response-recovery-and-resilience-c40e61c6/" TargetMode="External"/><Relationship Id="rId101" Type="http://schemas.openxmlformats.org/officeDocument/2006/relationships/hyperlink" Target="https://covid19.who.int/" TargetMode="External"/><Relationship Id="rId122" Type="http://schemas.openxmlformats.org/officeDocument/2006/relationships/hyperlink" Target="https://doi.org/10.1590/0034-7167-2020-1049" TargetMode="External"/><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26" Type="http://schemas.openxmlformats.org/officeDocument/2006/relationships/hyperlink" Target="https://arquivos.info.ufrn.br/arquivos/2015189080a8032460690d90e8a67354a/1-Modelo_bioecolo769gico_do_desenvolvimento_de_Bronfenbrenner_-_implicac807.pdf" TargetMode="External"/><Relationship Id="rId47" Type="http://schemas.openxmlformats.org/officeDocument/2006/relationships/hyperlink" Target="http://hdl.handle.net/10316/95434" TargetMode="External"/><Relationship Id="rId68" Type="http://schemas.openxmlformats.org/officeDocument/2006/relationships/hyperlink" Target="https://www.unicef.org/brazil/media/8466/file/covid-19-e-criancas-e-adolescentes-em-privacao-de-liberdade.pdf" TargetMode="External"/><Relationship Id="rId89" Type="http://schemas.openxmlformats.org/officeDocument/2006/relationships/hyperlink" Target="https://ppgecpan.ufms.br/files/2013/08/CLAUDIAELIZABETEDACOSTAMORAESMONDINI.pdf" TargetMode="External"/><Relationship Id="rId112" Type="http://schemas.openxmlformats.org/officeDocument/2006/relationships/hyperlink" Target="https://atos.cnj.jus.br/files/original170753202009255f6e23e9a58d4.pdf" TargetMode="External"/><Relationship Id="rId133" Type="http://schemas.openxmlformats.org/officeDocument/2006/relationships/hyperlink" Target="http://necvu.com.br/wp-content/uploads/2020/11/VINUTO_Ecos-da-pandemia-nos-sistemas-socioeducativos.pdf" TargetMode="External"/><Relationship Id="rId16"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User\Desktop\UFSCar\testes%20escal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er\Desktop\UFSCar\testes%20escal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Desktop\UFSCar\testes%20escala.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a:t>Fator Envolvimento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'Fator Envolvimento'!$B$1</c:f>
              <c:strCache>
                <c:ptCount val="1"/>
                <c:pt idx="0">
                  <c:v>Afirmativa 2</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Envolvimento'!$A$2:$A$8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Envolvimento'!$B$2:$B$8</c:f>
              <c:numCache>
                <c:formatCode>General</c:formatCode>
                <c:ptCount val="7"/>
                <c:pt idx="0">
                  <c:v>0</c:v>
                </c:pt>
                <c:pt idx="1">
                  <c:v>1</c:v>
                </c:pt>
                <c:pt idx="2">
                  <c:v>0</c:v>
                </c:pt>
                <c:pt idx="3">
                  <c:v>2</c:v>
                </c:pt>
                <c:pt idx="4">
                  <c:v>2</c:v>
                </c:pt>
                <c:pt idx="5">
                  <c:v>11</c:v>
                </c:pt>
                <c:pt idx="6">
                  <c:v>6</c:v>
                </c:pt>
              </c:numCache>
            </c:numRef>
          </c:val>
          <c:extLst>
            <c:ext xmlns:c16="http://schemas.microsoft.com/office/drawing/2014/chart" uri="{C3380CC4-5D6E-409C-BE32-E72D297353CC}">
              <c16:uniqueId val="{00000000-1042-4E88-8911-3ADE7CA28741}"/>
            </c:ext>
          </c:extLst>
        </c:ser>
        <c:ser>
          <c:idx val="1"/>
          <c:order val="1"/>
          <c:tx>
            <c:strRef>
              <c:f>'Fator Envolvimento'!$C$1</c:f>
              <c:strCache>
                <c:ptCount val="1"/>
                <c:pt idx="0">
                  <c:v>Afirmativa 4</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Envolvimento'!$A$2:$A$8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Envolvimento'!$C$2:$C$8</c:f>
              <c:numCache>
                <c:formatCode>General</c:formatCode>
                <c:ptCount val="7"/>
                <c:pt idx="0">
                  <c:v>0</c:v>
                </c:pt>
                <c:pt idx="1">
                  <c:v>1</c:v>
                </c:pt>
                <c:pt idx="2">
                  <c:v>0</c:v>
                </c:pt>
                <c:pt idx="3">
                  <c:v>2</c:v>
                </c:pt>
                <c:pt idx="4">
                  <c:v>1</c:v>
                </c:pt>
                <c:pt idx="5">
                  <c:v>7</c:v>
                </c:pt>
                <c:pt idx="6">
                  <c:v>11</c:v>
                </c:pt>
              </c:numCache>
            </c:numRef>
          </c:val>
          <c:extLst>
            <c:ext xmlns:c16="http://schemas.microsoft.com/office/drawing/2014/chart" uri="{C3380CC4-5D6E-409C-BE32-E72D297353CC}">
              <c16:uniqueId val="{00000001-1042-4E88-8911-3ADE7CA28741}"/>
            </c:ext>
          </c:extLst>
        </c:ser>
        <c:ser>
          <c:idx val="2"/>
          <c:order val="2"/>
          <c:tx>
            <c:strRef>
              <c:f>'Fator Envolvimento'!$D$1</c:f>
              <c:strCache>
                <c:ptCount val="1"/>
                <c:pt idx="0">
                  <c:v>Afirmativa 6</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Envolvimento'!$A$2:$A$8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Envolvimento'!$D$2:$D$8</c:f>
              <c:numCache>
                <c:formatCode>General</c:formatCode>
                <c:ptCount val="7"/>
                <c:pt idx="0">
                  <c:v>0</c:v>
                </c:pt>
                <c:pt idx="1">
                  <c:v>1</c:v>
                </c:pt>
                <c:pt idx="2">
                  <c:v>2</c:v>
                </c:pt>
                <c:pt idx="3">
                  <c:v>1</c:v>
                </c:pt>
                <c:pt idx="4">
                  <c:v>3</c:v>
                </c:pt>
                <c:pt idx="5">
                  <c:v>7</c:v>
                </c:pt>
                <c:pt idx="6">
                  <c:v>8</c:v>
                </c:pt>
              </c:numCache>
            </c:numRef>
          </c:val>
          <c:extLst>
            <c:ext xmlns:c16="http://schemas.microsoft.com/office/drawing/2014/chart" uri="{C3380CC4-5D6E-409C-BE32-E72D297353CC}">
              <c16:uniqueId val="{00000002-1042-4E88-8911-3ADE7CA28741}"/>
            </c:ext>
          </c:extLst>
        </c:ser>
        <c:ser>
          <c:idx val="3"/>
          <c:order val="3"/>
          <c:tx>
            <c:strRef>
              <c:f>'Fator Envolvimento'!$E$1</c:f>
              <c:strCache>
                <c:ptCount val="1"/>
                <c:pt idx="0">
                  <c:v>Afirmativa 8</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Envolvimento'!$A$2:$A$8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Envolvimento'!$E$2:$E$8</c:f>
              <c:numCache>
                <c:formatCode>General</c:formatCode>
                <c:ptCount val="7"/>
                <c:pt idx="0">
                  <c:v>0</c:v>
                </c:pt>
                <c:pt idx="1">
                  <c:v>1</c:v>
                </c:pt>
                <c:pt idx="2">
                  <c:v>0</c:v>
                </c:pt>
                <c:pt idx="3">
                  <c:v>1</c:v>
                </c:pt>
                <c:pt idx="4">
                  <c:v>3</c:v>
                </c:pt>
                <c:pt idx="5">
                  <c:v>5</c:v>
                </c:pt>
                <c:pt idx="6">
                  <c:v>12</c:v>
                </c:pt>
              </c:numCache>
            </c:numRef>
          </c:val>
          <c:extLst>
            <c:ext xmlns:c16="http://schemas.microsoft.com/office/drawing/2014/chart" uri="{C3380CC4-5D6E-409C-BE32-E72D297353CC}">
              <c16:uniqueId val="{00000003-1042-4E88-8911-3ADE7CA28741}"/>
            </c:ext>
          </c:extLst>
        </c:ser>
        <c:dLbls>
          <c:dLblPos val="outEnd"/>
          <c:showLegendKey val="0"/>
          <c:showVal val="1"/>
          <c:showCatName val="0"/>
          <c:showSerName val="0"/>
          <c:showPercent val="0"/>
          <c:showBubbleSize val="0"/>
        </c:dLbls>
        <c:gapWidth val="219"/>
        <c:overlap val="-27"/>
        <c:axId val="1952081264"/>
        <c:axId val="1952082096"/>
      </c:barChart>
      <c:catAx>
        <c:axId val="195208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952082096"/>
        <c:crosses val="autoZero"/>
        <c:auto val="1"/>
        <c:lblAlgn val="ctr"/>
        <c:lblOffset val="100"/>
        <c:noMultiLvlLbl val="0"/>
      </c:catAx>
      <c:valAx>
        <c:axId val="19520820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952081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pt-BR"/>
              <a:t>Fator Identificação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pt-BR"/>
        </a:p>
      </c:txPr>
    </c:title>
    <c:autoTitleDeleted val="0"/>
    <c:plotArea>
      <c:layout/>
      <c:barChart>
        <c:barDir val="col"/>
        <c:grouping val="clustered"/>
        <c:varyColors val="0"/>
        <c:ser>
          <c:idx val="0"/>
          <c:order val="0"/>
          <c:tx>
            <c:strRef>
              <c:f>'Fator Identificação'!$B$1</c:f>
              <c:strCache>
                <c:ptCount val="1"/>
                <c:pt idx="0">
                  <c:v>Afirmativa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Identificação'!$A$2:$A$8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Identificação'!$B$2:$B$8</c:f>
              <c:numCache>
                <c:formatCode>General</c:formatCode>
                <c:ptCount val="7"/>
                <c:pt idx="0">
                  <c:v>0</c:v>
                </c:pt>
                <c:pt idx="1">
                  <c:v>0</c:v>
                </c:pt>
                <c:pt idx="2">
                  <c:v>0</c:v>
                </c:pt>
                <c:pt idx="3">
                  <c:v>2</c:v>
                </c:pt>
                <c:pt idx="4">
                  <c:v>1</c:v>
                </c:pt>
                <c:pt idx="5">
                  <c:v>4</c:v>
                </c:pt>
                <c:pt idx="6">
                  <c:v>15</c:v>
                </c:pt>
              </c:numCache>
            </c:numRef>
          </c:val>
          <c:extLst>
            <c:ext xmlns:c16="http://schemas.microsoft.com/office/drawing/2014/chart" uri="{C3380CC4-5D6E-409C-BE32-E72D297353CC}">
              <c16:uniqueId val="{00000000-C26A-40E9-BA7B-856B162F3E7D}"/>
            </c:ext>
          </c:extLst>
        </c:ser>
        <c:ser>
          <c:idx val="1"/>
          <c:order val="1"/>
          <c:tx>
            <c:strRef>
              <c:f>'Fator Identificação'!$C$1</c:f>
              <c:strCache>
                <c:ptCount val="1"/>
                <c:pt idx="0">
                  <c:v>Afirmativa 3</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Identificação'!$A$2:$A$8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Identificação'!$C$2:$C$8</c:f>
              <c:numCache>
                <c:formatCode>General</c:formatCode>
                <c:ptCount val="7"/>
                <c:pt idx="0">
                  <c:v>0</c:v>
                </c:pt>
                <c:pt idx="1">
                  <c:v>0</c:v>
                </c:pt>
                <c:pt idx="2">
                  <c:v>2</c:v>
                </c:pt>
                <c:pt idx="3">
                  <c:v>0</c:v>
                </c:pt>
                <c:pt idx="4">
                  <c:v>1</c:v>
                </c:pt>
                <c:pt idx="5">
                  <c:v>6</c:v>
                </c:pt>
                <c:pt idx="6">
                  <c:v>13</c:v>
                </c:pt>
              </c:numCache>
            </c:numRef>
          </c:val>
          <c:extLst>
            <c:ext xmlns:c16="http://schemas.microsoft.com/office/drawing/2014/chart" uri="{C3380CC4-5D6E-409C-BE32-E72D297353CC}">
              <c16:uniqueId val="{00000001-C26A-40E9-BA7B-856B162F3E7D}"/>
            </c:ext>
          </c:extLst>
        </c:ser>
        <c:ser>
          <c:idx val="2"/>
          <c:order val="2"/>
          <c:tx>
            <c:strRef>
              <c:f>'Fator Identificação'!$D$1</c:f>
              <c:strCache>
                <c:ptCount val="1"/>
                <c:pt idx="0">
                  <c:v>Afirmativa 5</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Identificação'!$A$2:$A$8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Identificação'!$D$2:$D$8</c:f>
              <c:numCache>
                <c:formatCode>General</c:formatCode>
                <c:ptCount val="7"/>
                <c:pt idx="0">
                  <c:v>0</c:v>
                </c:pt>
                <c:pt idx="1">
                  <c:v>1</c:v>
                </c:pt>
                <c:pt idx="2">
                  <c:v>0</c:v>
                </c:pt>
                <c:pt idx="3">
                  <c:v>1</c:v>
                </c:pt>
                <c:pt idx="4">
                  <c:v>1</c:v>
                </c:pt>
                <c:pt idx="5">
                  <c:v>10</c:v>
                </c:pt>
                <c:pt idx="6">
                  <c:v>9</c:v>
                </c:pt>
              </c:numCache>
            </c:numRef>
          </c:val>
          <c:extLst>
            <c:ext xmlns:c16="http://schemas.microsoft.com/office/drawing/2014/chart" uri="{C3380CC4-5D6E-409C-BE32-E72D297353CC}">
              <c16:uniqueId val="{00000002-C26A-40E9-BA7B-856B162F3E7D}"/>
            </c:ext>
          </c:extLst>
        </c:ser>
        <c:ser>
          <c:idx val="3"/>
          <c:order val="3"/>
          <c:tx>
            <c:strRef>
              <c:f>'Fator Identificação'!$E$1</c:f>
              <c:strCache>
                <c:ptCount val="1"/>
                <c:pt idx="0">
                  <c:v>Afirmativa 7</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'Fator Identificação'!$A$2:$A$8</c:f>
              <c:strCache>
                <c:ptCount val="7"/>
                <c:pt idx="0">
                  <c:v>Discordo Totalmente</c:v>
                </c:pt>
                <c:pt idx="1">
                  <c:v>Discordo </c:v>
                </c:pt>
                <c:pt idx="2">
                  <c:v>Discordo um pouco</c:v>
                </c:pt>
                <c:pt idx="3">
                  <c:v>Não concordo nem discordo</c:v>
                </c:pt>
                <c:pt idx="4">
                  <c:v>Concordo um pouco</c:v>
                </c:pt>
                <c:pt idx="5">
                  <c:v>Concordo</c:v>
                </c:pt>
                <c:pt idx="6">
                  <c:v>Concordo totalmente</c:v>
                </c:pt>
              </c:strCache>
            </c:strRef>
          </c:cat>
          <c:val>
            <c:numRef>
              <c:f>'Fator Identificação'!$E$2:$E$8</c:f>
              <c:numCache>
                <c:formatCode>General</c:formatCode>
                <c:ptCount val="7"/>
                <c:pt idx="0">
                  <c:v>0</c:v>
                </c:pt>
                <c:pt idx="1">
                  <c:v>0</c:v>
                </c:pt>
                <c:pt idx="2">
                  <c:v>1</c:v>
                </c:pt>
                <c:pt idx="3">
                  <c:v>1</c:v>
                </c:pt>
                <c:pt idx="4">
                  <c:v>0</c:v>
                </c:pt>
                <c:pt idx="5">
                  <c:v>8</c:v>
                </c:pt>
                <c:pt idx="6">
                  <c:v>12</c:v>
                </c:pt>
              </c:numCache>
            </c:numRef>
          </c:val>
          <c:extLst>
            <c:ext xmlns:c16="http://schemas.microsoft.com/office/drawing/2014/chart" uri="{C3380CC4-5D6E-409C-BE32-E72D297353CC}">
              <c16:uniqueId val="{00000003-C26A-40E9-BA7B-856B162F3E7D}"/>
            </c:ext>
          </c:extLst>
        </c:ser>
        <c:dLbls>
          <c:dLblPos val="outEnd"/>
          <c:showLegendKey val="0"/>
          <c:showVal val="1"/>
          <c:showCatName val="0"/>
          <c:showSerName val="0"/>
          <c:showPercent val="0"/>
          <c:showBubbleSize val="0"/>
        </c:dLbls>
        <c:gapWidth val="219"/>
        <c:overlap val="-27"/>
        <c:axId val="139475088"/>
        <c:axId val="139492976"/>
      </c:barChart>
      <c:catAx>
        <c:axId val="1394750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39492976"/>
        <c:crosses val="autoZero"/>
        <c:auto val="1"/>
        <c:lblAlgn val="ctr"/>
        <c:lblOffset val="100"/>
        <c:noMultiLvlLbl val="0"/>
      </c:catAx>
      <c:valAx>
        <c:axId val="139492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394750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pt-BR"/>
  <c:roundedCorners val="0"/>
  <mc:AlternateContent xmlns:mc="http://schemas.openxmlformats.org/markup-compatibility/2006">
    <mc:Choice xmlns:c14="http://schemas.microsoft.com/office/drawing/2007/8/2/chart" Requires="c14">
      <c14:style val="102"/>
    </mc:Choice>
    <mc:Fallback>
      <c:style val="2"/>
    </mc:Fallback>
  </mc:AlternateContent>
  <c:pivotSource>
    <c:name>[testes escala.xlsx]Planilha5!Tabela dinâmica13</c:name>
    <c:fmtId val="-1"/>
  </c:pivotSource>
  <c:chart>
    <c:autoTitleDeleted val="1"/>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circle"/>
          <c:size val="5"/>
          <c:spPr>
            <a:solidFill>
              <a:schemeClr val="accent1"/>
            </a:solidFill>
            <a:ln w="9525">
              <a:solidFill>
                <a:schemeClr val="accent1"/>
              </a:solidFill>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dLblPos val="outEnd"/>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pt-BR"/>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Planilha5!$B$1</c:f>
              <c:strCache>
                <c:ptCount val="1"/>
                <c:pt idx="0">
                  <c:v>Total</c:v>
                </c:pt>
              </c:strCache>
            </c:strRef>
          </c:tx>
          <c:spPr>
            <a:solidFill>
              <a:schemeClr val="accent1"/>
            </a:solidFill>
            <a:ln>
              <a:noFill/>
            </a:ln>
            <a:effectLst/>
          </c:spPr>
          <c:invertIfNegative val="0"/>
          <c:trendline>
            <c:spPr>
              <a:ln w="19050" cap="rnd">
                <a:solidFill>
                  <a:schemeClr val="accent1"/>
                </a:solidFill>
                <a:prstDash val="sysDot"/>
              </a:ln>
              <a:effectLst/>
            </c:spPr>
            <c:trendlineType val="linear"/>
            <c:dispRSqr val="0"/>
            <c:dispEq val="0"/>
          </c:trendline>
          <c:cat>
            <c:strRef>
              <c:f>Planilha5!$A$2:$A$22</c:f>
              <c:strCache>
                <c:ptCount val="20"/>
                <c:pt idx="0">
                  <c:v>17</c:v>
                </c:pt>
                <c:pt idx="1">
                  <c:v>18</c:v>
                </c:pt>
                <c:pt idx="2">
                  <c:v>19</c:v>
                </c:pt>
                <c:pt idx="3">
                  <c:v>20</c:v>
                </c:pt>
                <c:pt idx="4">
                  <c:v>21</c:v>
                </c:pt>
                <c:pt idx="5">
                  <c:v>22</c:v>
                </c:pt>
                <c:pt idx="6">
                  <c:v>23</c:v>
                </c:pt>
                <c:pt idx="7">
                  <c:v>24</c:v>
                </c:pt>
                <c:pt idx="8">
                  <c:v>25</c:v>
                </c:pt>
                <c:pt idx="9">
                  <c:v>26</c:v>
                </c:pt>
                <c:pt idx="10">
                  <c:v>27</c:v>
                </c:pt>
                <c:pt idx="11">
                  <c:v>28</c:v>
                </c:pt>
                <c:pt idx="12">
                  <c:v>30</c:v>
                </c:pt>
                <c:pt idx="13">
                  <c:v>31</c:v>
                </c:pt>
                <c:pt idx="14">
                  <c:v>33</c:v>
                </c:pt>
                <c:pt idx="15">
                  <c:v>35</c:v>
                </c:pt>
                <c:pt idx="16">
                  <c:v>36</c:v>
                </c:pt>
                <c:pt idx="17">
                  <c:v>40</c:v>
                </c:pt>
                <c:pt idx="18">
                  <c:v>42</c:v>
                </c:pt>
                <c:pt idx="19">
                  <c:v>45</c:v>
                </c:pt>
              </c:strCache>
            </c:strRef>
          </c:cat>
          <c:val>
            <c:numRef>
              <c:f>Planilha5!$B$2:$B$22</c:f>
              <c:numCache>
                <c:formatCode>General</c:formatCode>
                <c:ptCount val="20"/>
                <c:pt idx="0">
                  <c:v>8</c:v>
                </c:pt>
                <c:pt idx="1">
                  <c:v>15</c:v>
                </c:pt>
                <c:pt idx="2">
                  <c:v>13</c:v>
                </c:pt>
                <c:pt idx="3">
                  <c:v>21</c:v>
                </c:pt>
                <c:pt idx="4">
                  <c:v>7</c:v>
                </c:pt>
                <c:pt idx="5">
                  <c:v>5</c:v>
                </c:pt>
                <c:pt idx="6">
                  <c:v>1</c:v>
                </c:pt>
                <c:pt idx="7">
                  <c:v>2</c:v>
                </c:pt>
                <c:pt idx="8">
                  <c:v>7</c:v>
                </c:pt>
                <c:pt idx="9">
                  <c:v>2</c:v>
                </c:pt>
                <c:pt idx="10">
                  <c:v>1</c:v>
                </c:pt>
                <c:pt idx="11">
                  <c:v>3</c:v>
                </c:pt>
                <c:pt idx="12">
                  <c:v>9</c:v>
                </c:pt>
                <c:pt idx="13">
                  <c:v>1</c:v>
                </c:pt>
                <c:pt idx="14">
                  <c:v>1</c:v>
                </c:pt>
                <c:pt idx="15">
                  <c:v>1</c:v>
                </c:pt>
                <c:pt idx="16">
                  <c:v>1</c:v>
                </c:pt>
                <c:pt idx="17">
                  <c:v>3</c:v>
                </c:pt>
                <c:pt idx="18">
                  <c:v>1</c:v>
                </c:pt>
                <c:pt idx="19">
                  <c:v>1</c:v>
                </c:pt>
              </c:numCache>
            </c:numRef>
          </c:val>
          <c:extLst>
            <c:ext xmlns:c16="http://schemas.microsoft.com/office/drawing/2014/chart" uri="{C3380CC4-5D6E-409C-BE32-E72D297353CC}">
              <c16:uniqueId val="{00000001-72B4-4E89-994A-E35B62FD5C94}"/>
            </c:ext>
          </c:extLst>
        </c:ser>
        <c:dLbls>
          <c:showLegendKey val="0"/>
          <c:showVal val="0"/>
          <c:showCatName val="0"/>
          <c:showSerName val="0"/>
          <c:showPercent val="0"/>
          <c:showBubbleSize val="0"/>
        </c:dLbls>
        <c:gapWidth val="219"/>
        <c:overlap val="-27"/>
        <c:axId val="1650818976"/>
        <c:axId val="1650823968"/>
      </c:barChart>
      <c:catAx>
        <c:axId val="16508189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Idades</a:t>
                </a:r>
                <a:r>
                  <a:rPr lang="pt-BR" baseline="0"/>
                  <a:t> indicadas</a:t>
                </a:r>
                <a:endParaRPr lang="pt-B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BR"/>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650823968"/>
        <c:crosses val="autoZero"/>
        <c:auto val="1"/>
        <c:lblAlgn val="ctr"/>
        <c:lblOffset val="100"/>
        <c:noMultiLvlLbl val="0"/>
      </c:catAx>
      <c:valAx>
        <c:axId val="165082396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pt-BR"/>
                  <a:t>Frequência</a:t>
                </a:r>
                <a:r>
                  <a:rPr lang="pt-BR" baseline="0"/>
                  <a:t> de vezes citada</a:t>
                </a:r>
                <a:endParaRPr lang="pt-B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pt-BR"/>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crossAx val="16508189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pt-BR"/>
          </a:p>
        </c:txPr>
      </c:dTable>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pt-B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pt-B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2+68Dbn0UVuLthUw+NPq5QzqVA==">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147</Pages>
  <Words>42127</Words>
  <Characters>227490</Characters>
  <Application>Microsoft Office Word</Application>
  <DocSecurity>0</DocSecurity>
  <Lines>1895</Lines>
  <Paragraphs>538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269079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Barbara Cristina Soares Sena</dc:creator>
  <cp:lastModifiedBy>Barbara Cristina Soares Sena</cp:lastModifiedBy>
  <cp:revision>18</cp:revision>
  <cp:lastPrinted>2023-09-25T13:51:00Z</cp:lastPrinted>
  <dcterms:created xsi:type="dcterms:W3CDTF">2023-09-25T13:51:00Z</dcterms:created>
  <dcterms:modified xsi:type="dcterms:W3CDTF">2023-11-14T12:14:00Z</dcterms:modified>
</cp:coreProperties>
</file>